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EDAB3" w14:textId="2A3E4FC3" w:rsidR="00D6389E" w:rsidRDefault="007A494A" w:rsidP="005B6CA6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2021</w:t>
      </w:r>
      <w:r w:rsidR="002E529B">
        <w:rPr>
          <w:rFonts w:asciiTheme="minorHAnsi" w:hAnsiTheme="minorHAnsi" w:cstheme="minorHAnsi"/>
          <w:color w:val="auto"/>
        </w:rPr>
        <w:t xml:space="preserve"> </w:t>
      </w:r>
      <w:r w:rsidR="005915CA">
        <w:rPr>
          <w:rFonts w:asciiTheme="minorHAnsi" w:hAnsiTheme="minorHAnsi" w:cstheme="minorHAnsi"/>
          <w:color w:val="auto"/>
        </w:rPr>
        <w:t>LT</w:t>
      </w:r>
      <w:r w:rsidR="002E529B">
        <w:rPr>
          <w:rFonts w:asciiTheme="minorHAnsi" w:hAnsiTheme="minorHAnsi" w:cstheme="minorHAnsi"/>
          <w:color w:val="auto"/>
        </w:rPr>
        <w:t>E</w:t>
      </w:r>
      <w:r w:rsidR="005915CA">
        <w:rPr>
          <w:rFonts w:asciiTheme="minorHAnsi" w:hAnsiTheme="minorHAnsi" w:cstheme="minorHAnsi"/>
          <w:color w:val="auto"/>
        </w:rPr>
        <w:t>RP</w:t>
      </w:r>
      <w:r w:rsidR="00D6389E">
        <w:rPr>
          <w:rFonts w:asciiTheme="minorHAnsi" w:hAnsiTheme="minorHAnsi" w:cstheme="minorHAnsi"/>
          <w:color w:val="auto"/>
        </w:rPr>
        <w:t xml:space="preserve"> – </w:t>
      </w:r>
      <w:r w:rsidR="0076360E">
        <w:rPr>
          <w:rFonts w:asciiTheme="minorHAnsi" w:hAnsiTheme="minorHAnsi" w:cstheme="minorHAnsi"/>
          <w:color w:val="auto"/>
        </w:rPr>
        <w:t>Resource Planning Advisory Group Workshop</w:t>
      </w:r>
    </w:p>
    <w:p w14:paraId="5FBEDAB4" w14:textId="28E33E59" w:rsidR="00715385" w:rsidRDefault="0076360E" w:rsidP="005B6CA6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Novem</w:t>
      </w:r>
      <w:r w:rsidR="00F6423E">
        <w:rPr>
          <w:rFonts w:asciiTheme="minorHAnsi" w:hAnsiTheme="minorHAnsi" w:cstheme="minorHAnsi"/>
          <w:color w:val="auto"/>
        </w:rPr>
        <w:t>ber</w:t>
      </w:r>
      <w:r w:rsidR="0005186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26</w:t>
      </w:r>
      <w:r w:rsidR="005915CA">
        <w:rPr>
          <w:rFonts w:asciiTheme="minorHAnsi" w:hAnsiTheme="minorHAnsi" w:cstheme="minorHAnsi"/>
          <w:color w:val="auto"/>
        </w:rPr>
        <w:t>,</w:t>
      </w:r>
      <w:r w:rsidR="007A494A">
        <w:rPr>
          <w:rFonts w:asciiTheme="minorHAnsi" w:hAnsiTheme="minorHAnsi" w:cstheme="minorHAnsi"/>
          <w:color w:val="auto"/>
        </w:rPr>
        <w:t xml:space="preserve"> 2019</w:t>
      </w:r>
    </w:p>
    <w:p w14:paraId="5FBEDAB5" w14:textId="1AAACA0B" w:rsidR="005B6CA6" w:rsidRDefault="0097327E" w:rsidP="005B6CA6">
      <w:pPr>
        <w:spacing w:after="0" w:line="240" w:lineRule="auto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Meeting </w:t>
      </w:r>
      <w:r w:rsidR="006059DA">
        <w:rPr>
          <w:b/>
          <w:sz w:val="28"/>
          <w:szCs w:val="28"/>
          <w:lang w:val="en-CA"/>
        </w:rPr>
        <w:t>Notes</w:t>
      </w:r>
      <w:bookmarkStart w:id="0" w:name="_GoBack"/>
      <w:bookmarkEnd w:id="0"/>
    </w:p>
    <w:p w14:paraId="5FBEDAB6" w14:textId="77777777" w:rsidR="005B6CA6" w:rsidRDefault="005B6CA6" w:rsidP="005B6CA6">
      <w:pPr>
        <w:spacing w:after="0" w:line="240" w:lineRule="auto"/>
        <w:jc w:val="center"/>
        <w:rPr>
          <w:b/>
          <w:sz w:val="28"/>
          <w:szCs w:val="28"/>
          <w:lang w:val="en-CA"/>
        </w:rPr>
      </w:pPr>
    </w:p>
    <w:p w14:paraId="5FBEDAB7" w14:textId="77777777" w:rsidR="0097327E" w:rsidRDefault="0097327E" w:rsidP="0097327E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Attendees</w:t>
      </w:r>
      <w:r w:rsidR="00E57E7F">
        <w:rPr>
          <w:b/>
          <w:lang w:val="en-CA"/>
        </w:rPr>
        <w:t>:</w:t>
      </w:r>
    </w:p>
    <w:p w14:paraId="14BF45D1" w14:textId="0964533D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David Craig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>Commercial Energy Consumers Association of BC</w:t>
      </w:r>
    </w:p>
    <w:p w14:paraId="13814D0B" w14:textId="1A2EFC97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Hillary Cheung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>British Columbia Utilities Commission</w:t>
      </w:r>
    </w:p>
    <w:p w14:paraId="678E3272" w14:textId="488446C0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Jim Quail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>Movement of United Professionals</w:t>
      </w:r>
    </w:p>
    <w:p w14:paraId="311D3113" w14:textId="56CE510E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Kathy Lee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>BC Hydro</w:t>
      </w:r>
    </w:p>
    <w:p w14:paraId="36F5435A" w14:textId="55489443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Lejla Uzicanin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>British Columbia Utilities Commission</w:t>
      </w:r>
    </w:p>
    <w:p w14:paraId="1DA28160" w14:textId="1041327A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Madi Kennedy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t>Pembina Institute</w:t>
      </w:r>
    </w:p>
    <w:p w14:paraId="5C5CC653" w14:textId="54C9E9F1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Martin Mullany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>Clean Energy Association of BC</w:t>
      </w:r>
    </w:p>
    <w:p w14:paraId="52EE8E99" w14:textId="5D830FEF" w:rsid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Tom Hackney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>BC Sustainable Energy Association</w:t>
      </w:r>
    </w:p>
    <w:p w14:paraId="4B6A3F15" w14:textId="0D530795" w:rsidR="00167161" w:rsidRP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A0544">
        <w:t>Tom-Pierre Frappé-Sénéclauze</w:t>
      </w:r>
      <w:r>
        <w:tab/>
      </w:r>
      <w:r w:rsidR="007A6FFD">
        <w:tab/>
      </w:r>
      <w:r>
        <w:t>Pembina Institute</w:t>
      </w:r>
    </w:p>
    <w:p w14:paraId="449BC816" w14:textId="2D4D328F" w:rsidR="00167161" w:rsidRPr="007A6FFD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Warren Walsh</w:t>
      </w:r>
      <w:r>
        <w:tab/>
      </w:r>
      <w:r>
        <w:tab/>
      </w:r>
      <w:r>
        <w:tab/>
      </w:r>
      <w:r w:rsidR="007A6FFD">
        <w:tab/>
      </w:r>
      <w:r>
        <w:t>BC Ministry of Energy and Mines</w:t>
      </w:r>
    </w:p>
    <w:p w14:paraId="1BACE4F5" w14:textId="03548F39" w:rsidR="007A6FFD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Mike Hopkins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52D84380" w14:textId="2F32F09C" w:rsidR="007A6FFD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David Bailey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4DA25DB1" w14:textId="33E48DAA" w:rsidR="001104E4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Dan Egolf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68F1211F" w14:textId="07F48B48" w:rsidR="005C08E5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Ron Zeilstra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05908997" w14:textId="7A6F50F3" w:rsidR="007A6FFD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Steven Groves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14FB2BD7" w14:textId="714A36F2" w:rsidR="007A6FFD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Ryan Steele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02CDA39C" w14:textId="7CA4E422" w:rsidR="005C08E5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Shannon Price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  <w:r w:rsidRPr="007A6FFD">
        <w:rPr>
          <w:rFonts w:eastAsia="Times New Roman" w:cs="Times New Roman"/>
        </w:rPr>
        <w:tab/>
      </w:r>
    </w:p>
    <w:p w14:paraId="260A5C9C" w14:textId="071BE3E9" w:rsidR="007A6FFD" w:rsidRPr="007A6FFD" w:rsidRDefault="007A6FFD" w:rsidP="007A6FF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Joyce Martin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5492CCB1" w14:textId="6705F5CD" w:rsidR="007A6FFD" w:rsidRPr="00980ACC" w:rsidRDefault="007A6FFD" w:rsidP="00980AC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A6FFD">
        <w:rPr>
          <w:rFonts w:eastAsia="Times New Roman" w:cs="Times New Roman"/>
        </w:rPr>
        <w:t>Robert Schuster</w:t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6FFD">
        <w:rPr>
          <w:rFonts w:eastAsia="Times New Roman" w:cs="Times New Roman"/>
        </w:rPr>
        <w:t>FortisBC</w:t>
      </w:r>
    </w:p>
    <w:p w14:paraId="7A9586C0" w14:textId="5356063A" w:rsidR="00167161" w:rsidRDefault="00167161" w:rsidP="00167161">
      <w:pPr>
        <w:spacing w:after="0" w:line="240" w:lineRule="auto"/>
        <w:rPr>
          <w:rFonts w:eastAsia="Times New Roman" w:cs="Times New Roman"/>
        </w:rPr>
      </w:pPr>
    </w:p>
    <w:p w14:paraId="2639C846" w14:textId="1D4A3F1A" w:rsidR="00167161" w:rsidRPr="00167161" w:rsidRDefault="00167161" w:rsidP="00167161">
      <w:pPr>
        <w:spacing w:after="0" w:line="240" w:lineRule="auto"/>
        <w:rPr>
          <w:rFonts w:eastAsia="Times New Roman" w:cs="Times New Roman"/>
          <w:b/>
        </w:rPr>
      </w:pPr>
      <w:r w:rsidRPr="00167161">
        <w:rPr>
          <w:rFonts w:eastAsia="Times New Roman" w:cs="Times New Roman"/>
          <w:b/>
        </w:rPr>
        <w:t>Guest Speakers:</w:t>
      </w:r>
    </w:p>
    <w:p w14:paraId="132AA6FE" w14:textId="17EBF1FE" w:rsidR="00167161" w:rsidRPr="00167161" w:rsidRDefault="00167161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Peter Steele-Mosey</w:t>
      </w:r>
      <w:r>
        <w:tab/>
      </w:r>
      <w:r>
        <w:tab/>
        <w:t>Navigant</w:t>
      </w:r>
    </w:p>
    <w:p w14:paraId="51AF54A5" w14:textId="2E70A059" w:rsidR="00167161" w:rsidRDefault="00167161" w:rsidP="00167161">
      <w:pPr>
        <w:spacing w:after="0" w:line="240" w:lineRule="auto"/>
        <w:rPr>
          <w:rFonts w:eastAsia="Times New Roman" w:cs="Times New Roman"/>
        </w:rPr>
      </w:pPr>
    </w:p>
    <w:p w14:paraId="31C433B3" w14:textId="7C23DEA3" w:rsidR="00167161" w:rsidRPr="00E8332D" w:rsidRDefault="00167161" w:rsidP="00167161">
      <w:pPr>
        <w:spacing w:after="0" w:line="240" w:lineRule="auto"/>
        <w:rPr>
          <w:rFonts w:eastAsia="Times New Roman" w:cs="Times New Roman"/>
          <w:b/>
        </w:rPr>
      </w:pPr>
      <w:r w:rsidRPr="00E8332D">
        <w:rPr>
          <w:rFonts w:eastAsia="Times New Roman" w:cs="Times New Roman"/>
          <w:b/>
        </w:rPr>
        <w:t>Called in:</w:t>
      </w:r>
    </w:p>
    <w:p w14:paraId="072112F9" w14:textId="6E11EC9D" w:rsidR="00167161" w:rsidRPr="00F724D9" w:rsidRDefault="00E8332D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Robert Hobbs</w:t>
      </w:r>
      <w:r>
        <w:tab/>
      </w:r>
      <w:r>
        <w:tab/>
      </w:r>
      <w:r>
        <w:tab/>
        <w:t>Industrial Customers Group</w:t>
      </w:r>
    </w:p>
    <w:p w14:paraId="40AF24AB" w14:textId="193C6862" w:rsidR="00F724D9" w:rsidRPr="00E8332D" w:rsidRDefault="00F724D9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t>Dixon Grant</w:t>
      </w:r>
      <w:r>
        <w:tab/>
      </w:r>
      <w:r>
        <w:tab/>
      </w:r>
      <w:r>
        <w:tab/>
        <w:t>Navigant</w:t>
      </w:r>
    </w:p>
    <w:p w14:paraId="303FF8E6" w14:textId="1B0D957B" w:rsidR="00E8332D" w:rsidRDefault="00E8332D" w:rsidP="00E8332D">
      <w:pPr>
        <w:spacing w:after="0" w:line="240" w:lineRule="auto"/>
        <w:rPr>
          <w:rFonts w:eastAsia="Times New Roman" w:cs="Times New Roman"/>
        </w:rPr>
      </w:pPr>
    </w:p>
    <w:p w14:paraId="732C427B" w14:textId="1E34C627" w:rsidR="00E8332D" w:rsidRPr="004C5B49" w:rsidRDefault="00E8332D" w:rsidP="00E8332D">
      <w:pPr>
        <w:spacing w:after="0" w:line="240" w:lineRule="auto"/>
        <w:rPr>
          <w:rFonts w:eastAsia="Times New Roman" w:cs="Times New Roman"/>
          <w:b/>
        </w:rPr>
      </w:pPr>
      <w:r w:rsidRPr="004C5B49">
        <w:rPr>
          <w:rFonts w:eastAsia="Times New Roman" w:cs="Times New Roman"/>
          <w:b/>
        </w:rPr>
        <w:t>Absent:</w:t>
      </w:r>
    </w:p>
    <w:p w14:paraId="69A27718" w14:textId="4F036FBA" w:rsidR="00E8332D" w:rsidRDefault="00E8332D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8332D">
        <w:rPr>
          <w:rFonts w:eastAsia="Times New Roman" w:cs="Times New Roman"/>
        </w:rPr>
        <w:t>Alex Love</w:t>
      </w:r>
      <w:r w:rsidRPr="00E8332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BC Municipal Electric Utilities</w:t>
      </w:r>
    </w:p>
    <w:p w14:paraId="51E21D91" w14:textId="774A655A" w:rsidR="00E8332D" w:rsidRDefault="00E8332D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Camille Leblanc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Friends of Kootenay Lake Stewardship Society</w:t>
      </w:r>
    </w:p>
    <w:p w14:paraId="7C1F237B" w14:textId="544460C3" w:rsidR="00E8332D" w:rsidRDefault="00E8332D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Nicole Simon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British Columbia Utilities Commission</w:t>
      </w:r>
    </w:p>
    <w:p w14:paraId="5E40F85F" w14:textId="1BDE5E7D" w:rsidR="00F657FF" w:rsidRPr="00E8332D" w:rsidRDefault="00F657FF" w:rsidP="00C963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Leigha Worth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BC Public Interest Advocacy Centre</w:t>
      </w:r>
    </w:p>
    <w:p w14:paraId="5FBEDAC7" w14:textId="77777777" w:rsidR="007D2A36" w:rsidRDefault="007D2A36" w:rsidP="0097327E">
      <w:pPr>
        <w:spacing w:after="0" w:line="240" w:lineRule="auto"/>
        <w:rPr>
          <w:lang w:val="en-CA"/>
        </w:rPr>
      </w:pPr>
    </w:p>
    <w:p w14:paraId="5FBEDAC8" w14:textId="77777777" w:rsidR="005B6CA6" w:rsidRDefault="005B6CA6" w:rsidP="005B6CA6">
      <w:pPr>
        <w:spacing w:after="0" w:line="240" w:lineRule="auto"/>
        <w:jc w:val="center"/>
        <w:rPr>
          <w:b/>
          <w:sz w:val="28"/>
          <w:szCs w:val="28"/>
          <w:lang w:val="en-CA"/>
        </w:rPr>
      </w:pPr>
    </w:p>
    <w:p w14:paraId="05C5EDA4" w14:textId="39FCA0A8" w:rsidR="008E273C" w:rsidRDefault="008E273C" w:rsidP="006418BB">
      <w:pPr>
        <w:spacing w:after="0" w:line="240" w:lineRule="auto"/>
        <w:rPr>
          <w:b/>
          <w:sz w:val="28"/>
          <w:szCs w:val="28"/>
          <w:u w:val="single"/>
          <w:lang w:val="en-CA"/>
        </w:rPr>
      </w:pPr>
    </w:p>
    <w:p w14:paraId="5FBEDACB" w14:textId="51263AA8" w:rsidR="00D6389E" w:rsidRPr="008E273C" w:rsidRDefault="008E273C" w:rsidP="008E273C">
      <w:pPr>
        <w:spacing w:after="0" w:line="240" w:lineRule="auto"/>
        <w:rPr>
          <w:b/>
          <w:sz w:val="24"/>
          <w:szCs w:val="24"/>
          <w:lang w:val="en-CA"/>
        </w:rPr>
      </w:pPr>
      <w:r w:rsidRPr="008E273C">
        <w:rPr>
          <w:b/>
          <w:sz w:val="24"/>
          <w:szCs w:val="24"/>
          <w:lang w:val="en-CA"/>
        </w:rPr>
        <w:t>FortisBC Overview, Resource Planning Advisory Group</w:t>
      </w:r>
    </w:p>
    <w:p w14:paraId="0329D05E" w14:textId="77777777" w:rsidR="008E273C" w:rsidRDefault="008E273C" w:rsidP="005B6CA6">
      <w:pPr>
        <w:spacing w:after="0" w:line="240" w:lineRule="auto"/>
        <w:jc w:val="center"/>
        <w:rPr>
          <w:b/>
          <w:sz w:val="28"/>
          <w:szCs w:val="28"/>
          <w:lang w:val="en-CA"/>
        </w:rPr>
      </w:pPr>
    </w:p>
    <w:p w14:paraId="21E21778" w14:textId="6AEE9B00" w:rsidR="00D12651" w:rsidRPr="00D12651" w:rsidRDefault="00666E36" w:rsidP="00D12651">
      <w:pPr>
        <w:rPr>
          <w:rFonts w:ascii="Calibri" w:eastAsia="Calibri" w:hAnsi="Calibri" w:cs="Times New Roman"/>
        </w:rPr>
      </w:pPr>
      <w:r>
        <w:rPr>
          <w:lang w:val="en-CA"/>
        </w:rPr>
        <w:t xml:space="preserve"> </w:t>
      </w:r>
      <w:r w:rsidR="000A5ECC">
        <w:rPr>
          <w:rFonts w:ascii="Calibri" w:eastAsia="Calibri" w:hAnsi="Calibri" w:cs="Times New Roman"/>
        </w:rPr>
        <w:t>Q: Are the Power Point slides</w:t>
      </w:r>
      <w:r w:rsidR="00D12651" w:rsidRPr="00D12651">
        <w:rPr>
          <w:rFonts w:ascii="Calibri" w:eastAsia="Calibri" w:hAnsi="Calibri" w:cs="Times New Roman"/>
        </w:rPr>
        <w:t xml:space="preserve"> going to be distributed?</w:t>
      </w:r>
    </w:p>
    <w:p w14:paraId="79AB29D6" w14:textId="2119EF3B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lastRenderedPageBreak/>
        <w:t>Yes</w:t>
      </w:r>
      <w:r w:rsidR="000A5ECC">
        <w:rPr>
          <w:rFonts w:ascii="Calibri" w:eastAsia="Calibri" w:hAnsi="Calibri" w:cs="Times New Roman"/>
        </w:rPr>
        <w:t>, they will be uploaded to our resource planning webpage</w:t>
      </w:r>
      <w:r w:rsidRPr="00D12651">
        <w:rPr>
          <w:rFonts w:ascii="Calibri" w:eastAsia="Calibri" w:hAnsi="Calibri" w:cs="Times New Roman"/>
        </w:rPr>
        <w:t>.   Notes will also be distributed</w:t>
      </w:r>
      <w:r w:rsidR="000A5ECC">
        <w:rPr>
          <w:rFonts w:ascii="Calibri" w:eastAsia="Calibri" w:hAnsi="Calibri" w:cs="Times New Roman"/>
        </w:rPr>
        <w:t xml:space="preserve"> within a few weeks after the workshop</w:t>
      </w:r>
      <w:r w:rsidRPr="00D12651">
        <w:rPr>
          <w:rFonts w:ascii="Calibri" w:eastAsia="Calibri" w:hAnsi="Calibri" w:cs="Times New Roman"/>
        </w:rPr>
        <w:t xml:space="preserve">.  Comments </w:t>
      </w:r>
      <w:r w:rsidR="000A5ECC">
        <w:rPr>
          <w:rFonts w:ascii="Calibri" w:eastAsia="Calibri" w:hAnsi="Calibri" w:cs="Times New Roman"/>
        </w:rPr>
        <w:t>and questions will be included</w:t>
      </w:r>
      <w:r w:rsidRPr="00D12651">
        <w:rPr>
          <w:rFonts w:ascii="Calibri" w:eastAsia="Calibri" w:hAnsi="Calibri" w:cs="Times New Roman"/>
        </w:rPr>
        <w:t>, but</w:t>
      </w:r>
      <w:r w:rsidR="000A5ECC">
        <w:rPr>
          <w:rFonts w:ascii="Calibri" w:eastAsia="Calibri" w:hAnsi="Calibri" w:cs="Times New Roman"/>
        </w:rPr>
        <w:t xml:space="preserve"> kept</w:t>
      </w:r>
      <w:r w:rsidRPr="00D12651">
        <w:rPr>
          <w:rFonts w:ascii="Calibri" w:eastAsia="Calibri" w:hAnsi="Calibri" w:cs="Times New Roman"/>
        </w:rPr>
        <w:t xml:space="preserve"> anonymous</w:t>
      </w:r>
    </w:p>
    <w:p w14:paraId="3670EF61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259C20CD" w14:textId="26DD197E" w:rsidR="00D12651" w:rsidRPr="00D12651" w:rsidRDefault="0099081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Q: Is the 30BY</w:t>
      </w:r>
      <w:r w:rsidR="00D12651" w:rsidRPr="00D12651">
        <w:rPr>
          <w:rFonts w:ascii="Calibri" w:eastAsia="Calibri" w:hAnsi="Calibri" w:cs="Times New Roman"/>
        </w:rPr>
        <w:t xml:space="preserve">30 target for Fortis Energy Inc. </w:t>
      </w:r>
      <w:r w:rsidR="00D12651">
        <w:rPr>
          <w:rFonts w:ascii="Calibri" w:eastAsia="Calibri" w:hAnsi="Calibri" w:cs="Times New Roman"/>
        </w:rPr>
        <w:t>(</w:t>
      </w:r>
      <w:r w:rsidR="00D12651" w:rsidRPr="00D12651">
        <w:rPr>
          <w:rFonts w:ascii="Calibri" w:eastAsia="Calibri" w:hAnsi="Calibri" w:cs="Times New Roman"/>
        </w:rPr>
        <w:t>FEI</w:t>
      </w:r>
      <w:r w:rsidR="00D12651">
        <w:rPr>
          <w:rFonts w:ascii="Calibri" w:eastAsia="Calibri" w:hAnsi="Calibri" w:cs="Times New Roman"/>
        </w:rPr>
        <w:t>)</w:t>
      </w:r>
      <w:r w:rsidR="00D12651" w:rsidRPr="00D12651">
        <w:rPr>
          <w:rFonts w:ascii="Calibri" w:eastAsia="Calibri" w:hAnsi="Calibri" w:cs="Times New Roman"/>
        </w:rPr>
        <w:t xml:space="preserve"> gas only, or </w:t>
      </w:r>
      <w:r w:rsidR="00D12651">
        <w:rPr>
          <w:rFonts w:ascii="Calibri" w:eastAsia="Calibri" w:hAnsi="Calibri" w:cs="Times New Roman"/>
        </w:rPr>
        <w:t>FortisBC Inc. (</w:t>
      </w:r>
      <w:r w:rsidR="00D12651" w:rsidRPr="00D12651">
        <w:rPr>
          <w:rFonts w:ascii="Calibri" w:eastAsia="Calibri" w:hAnsi="Calibri" w:cs="Times New Roman"/>
        </w:rPr>
        <w:t>FBC</w:t>
      </w:r>
      <w:r w:rsidR="00D12651">
        <w:rPr>
          <w:rFonts w:ascii="Calibri" w:eastAsia="Calibri" w:hAnsi="Calibri" w:cs="Times New Roman"/>
        </w:rPr>
        <w:t>) electricity</w:t>
      </w:r>
      <w:r w:rsidR="00D12651" w:rsidRPr="00D12651">
        <w:rPr>
          <w:rFonts w:ascii="Calibri" w:eastAsia="Calibri" w:hAnsi="Calibri" w:cs="Times New Roman"/>
        </w:rPr>
        <w:t xml:space="preserve">? </w:t>
      </w:r>
    </w:p>
    <w:p w14:paraId="71A313AA" w14:textId="5B65BA3D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30BY30 target is FortisBC c</w:t>
      </w:r>
      <w:r w:rsidRPr="00D12651">
        <w:rPr>
          <w:rFonts w:ascii="Calibri" w:eastAsia="Calibri" w:hAnsi="Calibri" w:cs="Times New Roman"/>
        </w:rPr>
        <w:t>ollectively (combined between FEI and FBC)</w:t>
      </w:r>
    </w:p>
    <w:p w14:paraId="18364DA2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764CF07A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What is the baseline for the 30% reduction?  </w:t>
      </w:r>
    </w:p>
    <w:p w14:paraId="00B2741B" w14:textId="749154AE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The target is a fixed number based on the year 2007 to </w:t>
      </w:r>
      <w:r w:rsidR="00990811">
        <w:rPr>
          <w:rFonts w:ascii="Calibri" w:eastAsia="Calibri" w:hAnsi="Calibri" w:cs="Times New Roman"/>
        </w:rPr>
        <w:t xml:space="preserve">generally </w:t>
      </w:r>
      <w:r w:rsidRPr="00D12651">
        <w:rPr>
          <w:rFonts w:ascii="Calibri" w:eastAsia="Calibri" w:hAnsi="Calibri" w:cs="Times New Roman"/>
        </w:rPr>
        <w:t xml:space="preserve">align with the </w:t>
      </w:r>
      <w:r w:rsidR="00990811">
        <w:rPr>
          <w:rFonts w:ascii="Calibri" w:eastAsia="Calibri" w:hAnsi="Calibri" w:cs="Times New Roman"/>
        </w:rPr>
        <w:t xml:space="preserve">federal and provincial </w:t>
      </w:r>
      <w:r w:rsidRPr="00D12651">
        <w:rPr>
          <w:rFonts w:ascii="Calibri" w:eastAsia="Calibri" w:hAnsi="Calibri" w:cs="Times New Roman"/>
        </w:rPr>
        <w:t>government</w:t>
      </w:r>
      <w:r w:rsidR="00990811">
        <w:rPr>
          <w:rFonts w:ascii="Calibri" w:eastAsia="Calibri" w:hAnsi="Calibri" w:cs="Times New Roman"/>
        </w:rPr>
        <w:t xml:space="preserve"> targets</w:t>
      </w:r>
      <w:r w:rsidRPr="00D12651">
        <w:rPr>
          <w:rFonts w:ascii="Calibri" w:eastAsia="Calibri" w:hAnsi="Calibri" w:cs="Times New Roman"/>
        </w:rPr>
        <w:t xml:space="preserve"> – based on customer emissions estimated in that year </w:t>
      </w:r>
    </w:p>
    <w:p w14:paraId="591CE5FB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It is an offset to the BC Economy and the global economy</w:t>
      </w:r>
    </w:p>
    <w:p w14:paraId="23ADD5B8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5EECC789" w14:textId="162986AF" w:rsidR="00D12651" w:rsidRPr="00D12651" w:rsidRDefault="0099081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Q: In light of 30BY</w:t>
      </w:r>
      <w:r w:rsidR="00D12651" w:rsidRPr="00D12651">
        <w:rPr>
          <w:rFonts w:ascii="Calibri" w:eastAsia="Calibri" w:hAnsi="Calibri" w:cs="Times New Roman"/>
        </w:rPr>
        <w:t>30, is there more integration between the Fortis</w:t>
      </w:r>
      <w:r>
        <w:rPr>
          <w:rFonts w:ascii="Calibri" w:eastAsia="Calibri" w:hAnsi="Calibri" w:cs="Times New Roman"/>
        </w:rPr>
        <w:t>BC electric and</w:t>
      </w:r>
      <w:r w:rsidR="00D12651" w:rsidRPr="00D12651">
        <w:rPr>
          <w:rFonts w:ascii="Calibri" w:eastAsia="Calibri" w:hAnsi="Calibri" w:cs="Times New Roman"/>
        </w:rPr>
        <w:t xml:space="preserve"> gas</w:t>
      </w:r>
      <w:r w:rsidR="007C3693">
        <w:rPr>
          <w:rFonts w:ascii="Calibri" w:eastAsia="Calibri" w:hAnsi="Calibri" w:cs="Times New Roman"/>
        </w:rPr>
        <w:t xml:space="preserve"> resource plans</w:t>
      </w:r>
      <w:r w:rsidR="00B16C39">
        <w:rPr>
          <w:rFonts w:ascii="Calibri" w:eastAsia="Calibri" w:hAnsi="Calibri" w:cs="Times New Roman"/>
        </w:rPr>
        <w:t>?</w:t>
      </w:r>
    </w:p>
    <w:p w14:paraId="3CAFCEDA" w14:textId="1B97FA8D" w:rsid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Yes, much more collaboration.  Development of load scenarios, shared advisory groups, shared community input sessions.  Collaboration is mainly within the planning environment.  The portfolio analysis approaches are different. </w:t>
      </w:r>
    </w:p>
    <w:p w14:paraId="3D2F123A" w14:textId="77777777" w:rsidR="008E273C" w:rsidRDefault="008E273C" w:rsidP="008E273C">
      <w:pPr>
        <w:spacing w:after="0" w:line="240" w:lineRule="auto"/>
        <w:rPr>
          <w:b/>
          <w:sz w:val="24"/>
          <w:szCs w:val="24"/>
          <w:lang w:val="en-CA"/>
        </w:rPr>
      </w:pPr>
    </w:p>
    <w:p w14:paraId="1331CE6E" w14:textId="42CC5981" w:rsidR="008E273C" w:rsidRPr="008E273C" w:rsidRDefault="008E273C" w:rsidP="008E273C">
      <w:pPr>
        <w:spacing w:after="0" w:line="240" w:lineRule="auto"/>
        <w:rPr>
          <w:b/>
          <w:sz w:val="24"/>
          <w:szCs w:val="24"/>
          <w:lang w:val="en-CA"/>
        </w:rPr>
      </w:pPr>
      <w:r w:rsidRPr="008E273C">
        <w:rPr>
          <w:b/>
          <w:sz w:val="24"/>
          <w:szCs w:val="24"/>
          <w:lang w:val="en-CA"/>
        </w:rPr>
        <w:t xml:space="preserve">Resource Planning </w:t>
      </w:r>
      <w:r>
        <w:rPr>
          <w:b/>
          <w:sz w:val="24"/>
          <w:szCs w:val="24"/>
          <w:lang w:val="en-CA"/>
        </w:rPr>
        <w:t>Process, BCUC Decision, Action Items</w:t>
      </w:r>
    </w:p>
    <w:p w14:paraId="3F9F533E" w14:textId="6C20407F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E494764" w14:textId="50AFD2D1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With respect to the shared service territory, and fuel switching, how does FBC address the relationship between the two entities and manage the </w:t>
      </w:r>
      <w:r w:rsidR="009D1FCD">
        <w:rPr>
          <w:rFonts w:ascii="Calibri" w:eastAsia="Calibri" w:hAnsi="Calibri" w:cs="Times New Roman"/>
        </w:rPr>
        <w:t>risk for stranded gas resources?</w:t>
      </w:r>
      <w:r w:rsidRPr="00D12651">
        <w:rPr>
          <w:rFonts w:ascii="Calibri" w:eastAsia="Calibri" w:hAnsi="Calibri" w:cs="Times New Roman"/>
        </w:rPr>
        <w:t xml:space="preserve">   Are the gas and electric utility </w:t>
      </w:r>
      <w:r w:rsidR="009D1FCD">
        <w:rPr>
          <w:rFonts w:ascii="Calibri" w:eastAsia="Calibri" w:hAnsi="Calibri" w:cs="Times New Roman"/>
        </w:rPr>
        <w:t xml:space="preserve">scenarios </w:t>
      </w:r>
      <w:r w:rsidRPr="00D12651">
        <w:rPr>
          <w:rFonts w:ascii="Calibri" w:eastAsia="Calibri" w:hAnsi="Calibri" w:cs="Times New Roman"/>
        </w:rPr>
        <w:t>at odds?</w:t>
      </w:r>
    </w:p>
    <w:p w14:paraId="0E9FFD54" w14:textId="10637BD1" w:rsidR="009D1FCD" w:rsidRDefault="009D1FCD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Load scenarios will drive the examination of impacts on the utilities</w:t>
      </w:r>
    </w:p>
    <w:p w14:paraId="3C44A750" w14:textId="6FA31BF5" w:rsidR="00D12651" w:rsidRPr="00D12651" w:rsidRDefault="00D45EA8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expects there to be some degree of alignment in the load scenarios to present an electrification scenario as well as a diversified scenario</w:t>
      </w:r>
      <w:r w:rsidR="00D12651" w:rsidRPr="00D12651">
        <w:rPr>
          <w:rFonts w:ascii="Calibri" w:eastAsia="Calibri" w:hAnsi="Calibri" w:cs="Times New Roman"/>
        </w:rPr>
        <w:t xml:space="preserve"> </w:t>
      </w:r>
    </w:p>
    <w:p w14:paraId="3B56C1AC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0A50AA12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Are the FBC and FEI resource plans going to be filed together.</w:t>
      </w:r>
    </w:p>
    <w:p w14:paraId="53992C0F" w14:textId="1C41FCA6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No, the plans are not going to be filed together, but we are working together</w:t>
      </w:r>
      <w:r w:rsidR="00D45EA8">
        <w:rPr>
          <w:rFonts w:ascii="Calibri" w:eastAsia="Calibri" w:hAnsi="Calibri" w:cs="Times New Roman"/>
        </w:rPr>
        <w:t xml:space="preserve"> o</w:t>
      </w:r>
      <w:r w:rsidRPr="00D12651">
        <w:rPr>
          <w:rFonts w:ascii="Calibri" w:eastAsia="Calibri" w:hAnsi="Calibri" w:cs="Times New Roman"/>
        </w:rPr>
        <w:t>n t</w:t>
      </w:r>
      <w:r w:rsidR="00D45EA8">
        <w:rPr>
          <w:rFonts w:ascii="Calibri" w:eastAsia="Calibri" w:hAnsi="Calibri" w:cs="Times New Roman"/>
        </w:rPr>
        <w:t>he planning environment sections</w:t>
      </w:r>
    </w:p>
    <w:p w14:paraId="363C2C24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3D76421C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Can you explain why the DSM was excluded from the LRMC calculation?</w:t>
      </w:r>
    </w:p>
    <w:p w14:paraId="279CC022" w14:textId="3D2CC8FF" w:rsidR="003B665C" w:rsidRDefault="003B665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excluded DSM from the LRMC used for DSM cost-effectiveness test purposes but did not exclude DSM from the other portfolios</w:t>
      </w:r>
      <w:r w:rsidR="00493226">
        <w:rPr>
          <w:rFonts w:ascii="Calibri" w:eastAsia="Calibri" w:hAnsi="Calibri" w:cs="Times New Roman"/>
        </w:rPr>
        <w:t xml:space="preserve"> in the 2016 LTERP</w:t>
      </w:r>
    </w:p>
    <w:p w14:paraId="7CD30EA0" w14:textId="6EB5FA30" w:rsidR="00D12651" w:rsidRDefault="003B665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the 2016 LTERP decision, the BCUC encouraged FBC to consider revising its LRMC method in its next LTERP </w:t>
      </w:r>
    </w:p>
    <w:p w14:paraId="3345D0C0" w14:textId="77777777" w:rsidR="003B665C" w:rsidRPr="00D12651" w:rsidRDefault="003B665C" w:rsidP="003B665C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47E503E4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Why was DSM excluded from the LRMC calculation</w:t>
      </w:r>
    </w:p>
    <w:p w14:paraId="7375D7FB" w14:textId="097E2C5F" w:rsidR="003B665C" w:rsidRDefault="003B665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did not exclude DSM from the LRMC of its preferred portfolios</w:t>
      </w:r>
    </w:p>
    <w:p w14:paraId="37D30DBB" w14:textId="3A00598F" w:rsidR="00D12651" w:rsidRPr="00D12651" w:rsidRDefault="003B665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BCUC</w:t>
      </w:r>
      <w:r w:rsidR="00D12651" w:rsidRPr="00D12651">
        <w:rPr>
          <w:rFonts w:ascii="Calibri" w:eastAsia="Calibri" w:hAnsi="Calibri" w:cs="Times New Roman"/>
        </w:rPr>
        <w:t xml:space="preserve"> decision stated that </w:t>
      </w:r>
      <w:r>
        <w:rPr>
          <w:rFonts w:ascii="Calibri" w:eastAsia="Calibri" w:hAnsi="Calibri" w:cs="Times New Roman"/>
        </w:rPr>
        <w:t>this is not an approach used by other BC utilities</w:t>
      </w:r>
      <w:r w:rsidR="00D12651" w:rsidRPr="00D12651">
        <w:rPr>
          <w:rFonts w:ascii="Calibri" w:eastAsia="Calibri" w:hAnsi="Calibri" w:cs="Times New Roman"/>
        </w:rPr>
        <w:t xml:space="preserve"> </w:t>
      </w:r>
    </w:p>
    <w:p w14:paraId="36C298D9" w14:textId="6CEBBA92" w:rsidR="00D12651" w:rsidRPr="00D12651" w:rsidRDefault="003B665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FBC </w:t>
      </w:r>
      <w:r w:rsidR="00D12651" w:rsidRPr="00D12651">
        <w:rPr>
          <w:rFonts w:ascii="Calibri" w:eastAsia="Calibri" w:hAnsi="Calibri" w:cs="Times New Roman"/>
        </w:rPr>
        <w:t>comment</w:t>
      </w:r>
      <w:r>
        <w:rPr>
          <w:rFonts w:ascii="Calibri" w:eastAsia="Calibri" w:hAnsi="Calibri" w:cs="Times New Roman"/>
        </w:rPr>
        <w:t>ed</w:t>
      </w:r>
      <w:r w:rsidR="00D12651" w:rsidRPr="00D12651">
        <w:rPr>
          <w:rFonts w:ascii="Calibri" w:eastAsia="Calibri" w:hAnsi="Calibri" w:cs="Times New Roman"/>
        </w:rPr>
        <w:t xml:space="preserve"> that the LRMC is just a number</w:t>
      </w:r>
      <w:r>
        <w:rPr>
          <w:rFonts w:ascii="Calibri" w:eastAsia="Calibri" w:hAnsi="Calibri" w:cs="Times New Roman"/>
        </w:rPr>
        <w:t xml:space="preserve"> representing cost and</w:t>
      </w:r>
      <w:r w:rsidR="00D12651" w:rsidRPr="00D12651">
        <w:rPr>
          <w:rFonts w:ascii="Calibri" w:eastAsia="Calibri" w:hAnsi="Calibri" w:cs="Times New Roman"/>
        </w:rPr>
        <w:t xml:space="preserve"> does not have </w:t>
      </w:r>
      <w:r>
        <w:rPr>
          <w:rFonts w:ascii="Calibri" w:eastAsia="Calibri" w:hAnsi="Calibri" w:cs="Times New Roman"/>
        </w:rPr>
        <w:t xml:space="preserve">other </w:t>
      </w:r>
      <w:r w:rsidR="00D12651" w:rsidRPr="00D12651">
        <w:rPr>
          <w:rFonts w:ascii="Calibri" w:eastAsia="Calibri" w:hAnsi="Calibri" w:cs="Times New Roman"/>
        </w:rPr>
        <w:t>attributes</w:t>
      </w:r>
      <w:r>
        <w:rPr>
          <w:rFonts w:ascii="Calibri" w:eastAsia="Calibri" w:hAnsi="Calibri" w:cs="Times New Roman"/>
        </w:rPr>
        <w:t xml:space="preserve"> relating to value of resource in terms of timing of energy and capacity</w:t>
      </w:r>
      <w:r w:rsidR="00D12651" w:rsidRPr="00D12651">
        <w:rPr>
          <w:rFonts w:ascii="Calibri" w:eastAsia="Calibri" w:hAnsi="Calibri" w:cs="Times New Roman"/>
        </w:rPr>
        <w:t xml:space="preserve"> </w:t>
      </w:r>
    </w:p>
    <w:p w14:paraId="5CAF0F37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42E793BC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How do you decide where to put EV chargers?</w:t>
      </w:r>
    </w:p>
    <w:p w14:paraId="491B7C92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Space them out to reduce range anxiety</w:t>
      </w:r>
    </w:p>
    <w:p w14:paraId="3E86CEBF" w14:textId="3AE90D8E" w:rsidR="00D12651" w:rsidRDefault="00AD6A3F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D12651" w:rsidRPr="00D12651">
        <w:rPr>
          <w:rFonts w:ascii="Calibri" w:eastAsia="Calibri" w:hAnsi="Calibri" w:cs="Times New Roman"/>
        </w:rPr>
        <w:t xml:space="preserve">BC is putting into 12 addition DC </w:t>
      </w:r>
      <w:r>
        <w:rPr>
          <w:rFonts w:ascii="Calibri" w:eastAsia="Calibri" w:hAnsi="Calibri" w:cs="Times New Roman"/>
        </w:rPr>
        <w:t xml:space="preserve">fast </w:t>
      </w:r>
      <w:r w:rsidR="00D12651" w:rsidRPr="00D12651">
        <w:rPr>
          <w:rFonts w:ascii="Calibri" w:eastAsia="Calibri" w:hAnsi="Calibri" w:cs="Times New Roman"/>
        </w:rPr>
        <w:t>chargers this year</w:t>
      </w:r>
    </w:p>
    <w:p w14:paraId="19B9C898" w14:textId="77777777" w:rsidR="009428F1" w:rsidRPr="00D12651" w:rsidRDefault="009428F1" w:rsidP="009428F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4B649D4" w14:textId="38854AD2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What approvals do</w:t>
      </w:r>
      <w:r w:rsidR="00AD6A3F">
        <w:rPr>
          <w:rFonts w:ascii="Calibri" w:eastAsia="Calibri" w:hAnsi="Calibri" w:cs="Times New Roman"/>
        </w:rPr>
        <w:t>es FBC have relating to public EV c</w:t>
      </w:r>
      <w:r w:rsidRPr="00D12651">
        <w:rPr>
          <w:rFonts w:ascii="Calibri" w:eastAsia="Calibri" w:hAnsi="Calibri" w:cs="Times New Roman"/>
        </w:rPr>
        <w:t>harging</w:t>
      </w:r>
      <w:r w:rsidR="00AD6A3F">
        <w:rPr>
          <w:rFonts w:ascii="Calibri" w:eastAsia="Calibri" w:hAnsi="Calibri" w:cs="Times New Roman"/>
        </w:rPr>
        <w:t>?</w:t>
      </w:r>
    </w:p>
    <w:p w14:paraId="2FE776E3" w14:textId="01552CA7" w:rsidR="00AD6A3F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FBC has approval for a charging rate, but does not have approval to put c</w:t>
      </w:r>
      <w:r w:rsidR="00AD6A3F">
        <w:rPr>
          <w:rFonts w:ascii="Calibri" w:eastAsia="Calibri" w:hAnsi="Calibri" w:cs="Times New Roman"/>
        </w:rPr>
        <w:t>harging assets into rate base yet (BCUC decision pending)</w:t>
      </w:r>
    </w:p>
    <w:p w14:paraId="703B3F0D" w14:textId="070B118C" w:rsidR="00D12651" w:rsidRPr="00D12651" w:rsidRDefault="00AD6A3F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does expect to include</w:t>
      </w:r>
      <w:r w:rsidR="00D12651" w:rsidRPr="00D12651">
        <w:rPr>
          <w:rFonts w:ascii="Calibri" w:eastAsia="Calibri" w:hAnsi="Calibri" w:cs="Times New Roman"/>
        </w:rPr>
        <w:t xml:space="preserve"> EV charging infrastructure </w:t>
      </w:r>
      <w:r>
        <w:rPr>
          <w:rFonts w:ascii="Calibri" w:eastAsia="Calibri" w:hAnsi="Calibri" w:cs="Times New Roman"/>
        </w:rPr>
        <w:t xml:space="preserve">in rate base </w:t>
      </w:r>
      <w:r w:rsidR="00D12651" w:rsidRPr="00D12651">
        <w:rPr>
          <w:rFonts w:ascii="Calibri" w:eastAsia="Calibri" w:hAnsi="Calibri" w:cs="Times New Roman"/>
        </w:rPr>
        <w:t>in the future</w:t>
      </w:r>
    </w:p>
    <w:p w14:paraId="2BEECB49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02F98936" w14:textId="34116F51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How many are you installing by 2022</w:t>
      </w:r>
      <w:r w:rsidR="00AD6A3F">
        <w:rPr>
          <w:rFonts w:ascii="Calibri" w:eastAsia="Calibri" w:hAnsi="Calibri" w:cs="Times New Roman"/>
        </w:rPr>
        <w:t>?</w:t>
      </w:r>
      <w:r w:rsidRPr="00D12651">
        <w:rPr>
          <w:rFonts w:ascii="Calibri" w:eastAsia="Calibri" w:hAnsi="Calibri" w:cs="Times New Roman"/>
        </w:rPr>
        <w:t xml:space="preserve"> </w:t>
      </w:r>
    </w:p>
    <w:p w14:paraId="3A11A05A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about 20 chargers, with federal &amp; provincial funding</w:t>
      </w:r>
    </w:p>
    <w:p w14:paraId="589840FE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6402405D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How many Net Metering Customers does FBC have?</w:t>
      </w:r>
    </w:p>
    <w:p w14:paraId="456C25CC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About 500, with a total of ~ 4.5MW installed</w:t>
      </w:r>
    </w:p>
    <w:p w14:paraId="60F2E02B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608EC263" w14:textId="7EF9726B" w:rsidR="00D12651" w:rsidRPr="00D12651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>omment</w:t>
      </w:r>
      <w:r w:rsidR="00CE5510">
        <w:rPr>
          <w:rFonts w:ascii="Calibri" w:eastAsia="Calibri" w:hAnsi="Calibri" w:cs="Times New Roman"/>
        </w:rPr>
        <w:t>s</w:t>
      </w:r>
      <w:r w:rsidR="00D12651" w:rsidRPr="00D12651">
        <w:rPr>
          <w:rFonts w:ascii="Calibri" w:eastAsia="Calibri" w:hAnsi="Calibri" w:cs="Times New Roman"/>
        </w:rPr>
        <w:t xml:space="preserve">: </w:t>
      </w:r>
    </w:p>
    <w:p w14:paraId="5FC437F7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Trends in changes to step code; Rooftop solar is becoming economical for the first time </w:t>
      </w:r>
    </w:p>
    <w:p w14:paraId="05A3DD12" w14:textId="793871D8" w:rsidR="00D12651" w:rsidRDefault="00D12651" w:rsidP="00C96396">
      <w:pPr>
        <w:numPr>
          <w:ilvl w:val="1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Every house is going to be net zero, rooftop solar</w:t>
      </w:r>
      <w:r w:rsidR="00B22E13">
        <w:rPr>
          <w:rFonts w:ascii="Calibri" w:eastAsia="Calibri" w:hAnsi="Calibri" w:cs="Times New Roman"/>
        </w:rPr>
        <w:t xml:space="preserve"> and self-generation</w:t>
      </w:r>
      <w:r w:rsidRPr="00D12651">
        <w:rPr>
          <w:rFonts w:ascii="Calibri" w:eastAsia="Calibri" w:hAnsi="Calibri" w:cs="Times New Roman"/>
        </w:rPr>
        <w:t xml:space="preserve"> could be a big part of achieving that objective</w:t>
      </w:r>
    </w:p>
    <w:p w14:paraId="057472A5" w14:textId="77777777" w:rsidR="009428F1" w:rsidRPr="00D12651" w:rsidRDefault="009428F1" w:rsidP="009428F1">
      <w:pPr>
        <w:spacing w:after="160" w:line="256" w:lineRule="auto"/>
        <w:ind w:left="1440"/>
        <w:contextualSpacing/>
        <w:rPr>
          <w:rFonts w:ascii="Calibri" w:eastAsia="Calibri" w:hAnsi="Calibri" w:cs="Times New Roman"/>
        </w:rPr>
      </w:pPr>
    </w:p>
    <w:p w14:paraId="7A64A2F3" w14:textId="18D2AE4D" w:rsidR="00D12651" w:rsidRDefault="00D12651" w:rsidP="009428F1">
      <w:p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FBC acknowledged the potential for an increase in distributed generation</w:t>
      </w:r>
      <w:r w:rsidR="00AD6A3F">
        <w:rPr>
          <w:rFonts w:ascii="Calibri" w:eastAsia="Calibri" w:hAnsi="Calibri" w:cs="Times New Roman"/>
        </w:rPr>
        <w:t xml:space="preserve"> and will explore further in load scenarios</w:t>
      </w:r>
    </w:p>
    <w:p w14:paraId="65757253" w14:textId="77777777" w:rsidR="00AD6A3F" w:rsidRPr="00D12651" w:rsidRDefault="00AD6A3F" w:rsidP="00AD6A3F">
      <w:pPr>
        <w:spacing w:after="160" w:line="256" w:lineRule="auto"/>
        <w:ind w:left="1440"/>
        <w:contextualSpacing/>
        <w:rPr>
          <w:rFonts w:ascii="Calibri" w:eastAsia="Calibri" w:hAnsi="Calibri" w:cs="Times New Roman"/>
        </w:rPr>
      </w:pPr>
    </w:p>
    <w:p w14:paraId="01CC32F3" w14:textId="2A5F17C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Has FBC had any discussions with cryptocurrency customers about taking them off the peak</w:t>
      </w:r>
      <w:r w:rsidR="00AD6A3F">
        <w:rPr>
          <w:rFonts w:ascii="Calibri" w:eastAsia="Calibri" w:hAnsi="Calibri" w:cs="Times New Roman"/>
        </w:rPr>
        <w:t>?</w:t>
      </w:r>
    </w:p>
    <w:p w14:paraId="11CB52B2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We are currently looking into how to address this</w:t>
      </w:r>
    </w:p>
    <w:p w14:paraId="403035E8" w14:textId="061302B9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Cryptocurrency customers may potentially decide to become transmission customers</w:t>
      </w:r>
      <w:r w:rsidR="00AD6A3F">
        <w:rPr>
          <w:rFonts w:ascii="Calibri" w:eastAsia="Calibri" w:hAnsi="Calibri" w:cs="Times New Roman"/>
        </w:rPr>
        <w:t>, which are not included in rate payer load</w:t>
      </w:r>
    </w:p>
    <w:p w14:paraId="1490DB74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04A9C299" w14:textId="04B61300" w:rsidR="001E28D2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1E28D2">
        <w:rPr>
          <w:rFonts w:ascii="Calibri" w:eastAsia="Calibri" w:hAnsi="Calibri" w:cs="Times New Roman"/>
        </w:rPr>
        <w:t>omments:</w:t>
      </w:r>
      <w:r w:rsidR="00D12651" w:rsidRPr="00D12651">
        <w:rPr>
          <w:rFonts w:ascii="Calibri" w:eastAsia="Calibri" w:hAnsi="Calibri" w:cs="Times New Roman"/>
        </w:rPr>
        <w:t xml:space="preserve">  </w:t>
      </w:r>
    </w:p>
    <w:p w14:paraId="4017AAF6" w14:textId="77777777" w:rsidR="001E28D2" w:rsidRPr="001E28D2" w:rsidRDefault="00D1265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1E28D2">
        <w:rPr>
          <w:rFonts w:ascii="Calibri" w:eastAsia="Calibri" w:hAnsi="Calibri" w:cs="Times New Roman"/>
        </w:rPr>
        <w:t xml:space="preserve">These types of customers have the ability to suck up a lot of power when other customers should </w:t>
      </w:r>
      <w:r w:rsidR="001E28D2">
        <w:rPr>
          <w:rFonts w:ascii="Calibri" w:eastAsia="Calibri" w:hAnsi="Calibri" w:cs="Times New Roman"/>
        </w:rPr>
        <w:t xml:space="preserve">be considering fuel switching – i.e. </w:t>
      </w:r>
      <w:r w:rsidR="001E28D2">
        <w:rPr>
          <w:rFonts w:ascii="Calibri" w:hAnsi="Calibri" w:cs="Calibri"/>
        </w:rPr>
        <w:t>t</w:t>
      </w:r>
      <w:r w:rsidR="001E28D2" w:rsidRPr="001E28D2">
        <w:rPr>
          <w:rFonts w:ascii="Calibri" w:hAnsi="Calibri" w:cs="Calibri"/>
        </w:rPr>
        <w:t>hese customers use electricity that could otherwise be used for beneficial electrification</w:t>
      </w:r>
    </w:p>
    <w:p w14:paraId="4DD77CBB" w14:textId="77777777" w:rsidR="00EB7A35" w:rsidRDefault="001E28D2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should not be</w:t>
      </w:r>
      <w:r w:rsidR="00D12651" w:rsidRPr="001E28D2">
        <w:rPr>
          <w:rFonts w:ascii="Calibri" w:eastAsia="Calibri" w:hAnsi="Calibri" w:cs="Times New Roman"/>
        </w:rPr>
        <w:t xml:space="preserve"> picking and choosing loads </w:t>
      </w:r>
    </w:p>
    <w:p w14:paraId="137005C5" w14:textId="77777777" w:rsidR="00EB7A35" w:rsidRDefault="00D1265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EB7A35">
        <w:rPr>
          <w:rFonts w:ascii="Calibri" w:eastAsia="Calibri" w:hAnsi="Calibri" w:cs="Times New Roman"/>
        </w:rPr>
        <w:t>Quebec prices are more attractive</w:t>
      </w:r>
      <w:r w:rsidR="00AD6A3F" w:rsidRPr="00EB7A35">
        <w:rPr>
          <w:rFonts w:ascii="Calibri" w:eastAsia="Calibri" w:hAnsi="Calibri" w:cs="Times New Roman"/>
        </w:rPr>
        <w:t xml:space="preserve"> given their lower electricity rates and it would be surprising</w:t>
      </w:r>
      <w:r w:rsidRPr="00EB7A35">
        <w:rPr>
          <w:rFonts w:ascii="Calibri" w:eastAsia="Calibri" w:hAnsi="Calibri" w:cs="Times New Roman"/>
        </w:rPr>
        <w:t xml:space="preserve"> if FBC requests outpaced more attractive jurisdictions</w:t>
      </w:r>
    </w:p>
    <w:p w14:paraId="4AF6B6ED" w14:textId="407FE442" w:rsidR="00D12651" w:rsidRDefault="00EB7A35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FBC is </w:t>
      </w:r>
      <w:r w:rsidR="00D12651" w:rsidRPr="00EB7A35">
        <w:rPr>
          <w:rFonts w:ascii="Calibri" w:eastAsia="Calibri" w:hAnsi="Calibri" w:cs="Times New Roman"/>
        </w:rPr>
        <w:t>advise</w:t>
      </w:r>
      <w:r>
        <w:rPr>
          <w:rFonts w:ascii="Calibri" w:eastAsia="Calibri" w:hAnsi="Calibri" w:cs="Times New Roman"/>
        </w:rPr>
        <w:t>d</w:t>
      </w:r>
      <w:r w:rsidR="00D12651" w:rsidRPr="00EB7A35">
        <w:rPr>
          <w:rFonts w:ascii="Calibri" w:eastAsia="Calibri" w:hAnsi="Calibri" w:cs="Times New Roman"/>
        </w:rPr>
        <w:t xml:space="preserve"> not to invest a big infrastructure if there is significant uncertainty of future loads</w:t>
      </w:r>
    </w:p>
    <w:p w14:paraId="056491D2" w14:textId="73DF8D88" w:rsidR="006D3750" w:rsidRPr="00EB7A35" w:rsidRDefault="006D3750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There could be more impacts from artificial intelligence load driver than cryptocurrency</w:t>
      </w:r>
    </w:p>
    <w:p w14:paraId="75D47A49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73643AB4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What is the utility’s ability to say yes or no to customers – do we have a duty to connect?</w:t>
      </w:r>
    </w:p>
    <w:p w14:paraId="426842E7" w14:textId="12E9484B" w:rsidR="00D12651" w:rsidRPr="00D12651" w:rsidRDefault="00542D2B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FBC is required to connect customers that want service, however </w:t>
      </w:r>
      <w:r w:rsidR="007C3693">
        <w:rPr>
          <w:rFonts w:ascii="Calibri" w:eastAsia="Calibri" w:hAnsi="Calibri" w:cs="Times New Roman"/>
        </w:rPr>
        <w:t xml:space="preserve">FBC’s tariff provides that large commercial and industrial customers may be required to contribute to costs </w:t>
      </w:r>
      <w:r w:rsidR="007C3693" w:rsidRPr="007C3693">
        <w:rPr>
          <w:rFonts w:ascii="Calibri" w:eastAsia="Calibri" w:hAnsi="Calibri" w:cs="Times New Roman"/>
        </w:rPr>
        <w:t>where installation and upgrading of substation and transmission facilities may be required</w:t>
      </w:r>
      <w:r>
        <w:rPr>
          <w:rFonts w:ascii="Calibri" w:eastAsia="Calibri" w:hAnsi="Calibri" w:cs="Times New Roman"/>
        </w:rPr>
        <w:t>.</w:t>
      </w:r>
    </w:p>
    <w:p w14:paraId="60B39C24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6579EF7C" w14:textId="117F1438" w:rsidR="00D12651" w:rsidRPr="00D12651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CE5510">
        <w:rPr>
          <w:rFonts w:ascii="Calibri" w:eastAsia="Calibri" w:hAnsi="Calibri" w:cs="Times New Roman"/>
        </w:rPr>
        <w:t>omments</w:t>
      </w:r>
      <w:r w:rsidR="00D12651" w:rsidRPr="00D12651">
        <w:rPr>
          <w:rFonts w:ascii="Calibri" w:eastAsia="Calibri" w:hAnsi="Calibri" w:cs="Times New Roman"/>
        </w:rPr>
        <w:t xml:space="preserve">: </w:t>
      </w:r>
    </w:p>
    <w:p w14:paraId="11E56328" w14:textId="3441BFFC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Artificial intelligence is complementary to the cryptocurrency – although cryptocurrency has uncertainty, artificial intelligence &amp; data centers are likely to be</w:t>
      </w:r>
      <w:r w:rsidR="00E5438F">
        <w:rPr>
          <w:rFonts w:ascii="Calibri" w:eastAsia="Calibri" w:hAnsi="Calibri" w:cs="Times New Roman"/>
        </w:rPr>
        <w:t xml:space="preserve"> a big component of the future</w:t>
      </w:r>
      <w:r w:rsidRPr="00D12651">
        <w:rPr>
          <w:rFonts w:ascii="Calibri" w:eastAsia="Calibri" w:hAnsi="Calibri" w:cs="Times New Roman"/>
        </w:rPr>
        <w:t xml:space="preserve">  </w:t>
      </w:r>
    </w:p>
    <w:p w14:paraId="2819B9B8" w14:textId="2CD2712A" w:rsidR="00D12651" w:rsidRPr="00D12651" w:rsidRDefault="00E5438F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 illegal less efficient c</w:t>
      </w:r>
      <w:r w:rsidR="00D12651" w:rsidRPr="00D12651">
        <w:rPr>
          <w:rFonts w:ascii="Calibri" w:eastAsia="Calibri" w:hAnsi="Calibri" w:cs="Times New Roman"/>
        </w:rPr>
        <w:t>annabis grow-op</w:t>
      </w:r>
      <w:r>
        <w:rPr>
          <w:rFonts w:ascii="Calibri" w:eastAsia="Calibri" w:hAnsi="Calibri" w:cs="Times New Roman"/>
        </w:rPr>
        <w:t>s</w:t>
      </w:r>
      <w:r w:rsidR="00D12651" w:rsidRPr="00D12651">
        <w:rPr>
          <w:rFonts w:ascii="Calibri" w:eastAsia="Calibri" w:hAnsi="Calibri" w:cs="Times New Roman"/>
        </w:rPr>
        <w:t xml:space="preserve"> are displaced by legal, more efficient </w:t>
      </w:r>
      <w:r>
        <w:rPr>
          <w:rFonts w:ascii="Calibri" w:eastAsia="Calibri" w:hAnsi="Calibri" w:cs="Times New Roman"/>
        </w:rPr>
        <w:t>facilities, there could be an offset in load</w:t>
      </w:r>
    </w:p>
    <w:p w14:paraId="7DF6868E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7594F70F" w14:textId="5FF806E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</w:t>
      </w:r>
      <w:r w:rsidR="00CE5510">
        <w:rPr>
          <w:rFonts w:ascii="Calibri" w:eastAsia="Calibri" w:hAnsi="Calibri" w:cs="Times New Roman"/>
        </w:rPr>
        <w:t>W</w:t>
      </w:r>
      <w:r w:rsidR="00521F6F">
        <w:rPr>
          <w:rFonts w:ascii="Calibri" w:eastAsia="Calibri" w:hAnsi="Calibri" w:cs="Times New Roman"/>
        </w:rPr>
        <w:t>hat accounts for the differences in the 2016-2018 actual winter and summer peak compared to the 2016 LTERP forecast?</w:t>
      </w:r>
    </w:p>
    <w:p w14:paraId="07A77871" w14:textId="5F1A9BCD" w:rsidR="00C006D7" w:rsidRPr="00C006D7" w:rsidRDefault="00C006D7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</w:t>
      </w:r>
      <w:r w:rsidRPr="00C006D7">
        <w:rPr>
          <w:rFonts w:ascii="Calibri" w:eastAsia="Calibri" w:hAnsi="Calibri" w:cs="Times New Roman"/>
        </w:rPr>
        <w:t xml:space="preserve"> can speculate about reasons for the apparent trend but do</w:t>
      </w:r>
      <w:r>
        <w:rPr>
          <w:rFonts w:ascii="Calibri" w:eastAsia="Calibri" w:hAnsi="Calibri" w:cs="Times New Roman"/>
        </w:rPr>
        <w:t>es</w:t>
      </w:r>
      <w:r w:rsidRPr="00C006D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not have end-</w:t>
      </w:r>
      <w:r w:rsidRPr="00C006D7">
        <w:rPr>
          <w:rFonts w:ascii="Calibri" w:eastAsia="Calibri" w:hAnsi="Calibri" w:cs="Times New Roman"/>
        </w:rPr>
        <w:t xml:space="preserve">use models to test </w:t>
      </w:r>
      <w:r w:rsidR="002D54D0" w:rsidRPr="00C006D7">
        <w:rPr>
          <w:rFonts w:ascii="Calibri" w:eastAsia="Calibri" w:hAnsi="Calibri" w:cs="Times New Roman"/>
        </w:rPr>
        <w:t>what specifically</w:t>
      </w:r>
      <w:r w:rsidR="002D54D0">
        <w:rPr>
          <w:rFonts w:ascii="Calibri" w:eastAsia="Calibri" w:hAnsi="Calibri" w:cs="Times New Roman"/>
        </w:rPr>
        <w:t xml:space="preserve"> is driving load changes. Examples of speculative reasons include</w:t>
      </w:r>
      <w:r w:rsidR="00850367">
        <w:rPr>
          <w:rFonts w:ascii="Calibri" w:eastAsia="Calibri" w:hAnsi="Calibri" w:cs="Times New Roman"/>
        </w:rPr>
        <w:t xml:space="preserve"> LED lighting</w:t>
      </w:r>
      <w:r w:rsidRPr="00C006D7">
        <w:rPr>
          <w:rFonts w:ascii="Calibri" w:eastAsia="Calibri" w:hAnsi="Calibri" w:cs="Times New Roman"/>
        </w:rPr>
        <w:t xml:space="preserve"> and air conditioning </w:t>
      </w:r>
    </w:p>
    <w:p w14:paraId="47AE0BF0" w14:textId="1442638E" w:rsid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00CC1262" w14:textId="53316744" w:rsidR="008E273C" w:rsidRPr="00D12651" w:rsidRDefault="008E273C" w:rsidP="00D12651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8E273C">
        <w:rPr>
          <w:rFonts w:ascii="Calibri" w:eastAsia="Calibri" w:hAnsi="Calibri" w:cs="Times New Roman"/>
          <w:b/>
          <w:sz w:val="24"/>
          <w:szCs w:val="24"/>
        </w:rPr>
        <w:t>Resource Planning Environment</w:t>
      </w:r>
    </w:p>
    <w:p w14:paraId="7B0CD5A5" w14:textId="537E253E" w:rsidR="00D12651" w:rsidRDefault="00521F6F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</w:t>
      </w:r>
      <w:r w:rsidR="00CE5510">
        <w:rPr>
          <w:rFonts w:ascii="Calibri" w:eastAsia="Calibri" w:hAnsi="Calibri" w:cs="Times New Roman"/>
        </w:rPr>
        <w:t>: W</w:t>
      </w:r>
      <w:r>
        <w:rPr>
          <w:rFonts w:ascii="Calibri" w:eastAsia="Calibri" w:hAnsi="Calibri" w:cs="Times New Roman"/>
        </w:rPr>
        <w:t>hat is the source for the regional resource adequacy graph?</w:t>
      </w:r>
      <w:r w:rsidR="003815E5">
        <w:rPr>
          <w:rFonts w:ascii="Calibri" w:eastAsia="Calibri" w:hAnsi="Calibri" w:cs="Times New Roman"/>
        </w:rPr>
        <w:t xml:space="preserve">  Does it include BC or California? </w:t>
      </w:r>
    </w:p>
    <w:p w14:paraId="366D0484" w14:textId="33A00ABD" w:rsidR="00D12651" w:rsidRDefault="003815E5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Source is </w:t>
      </w:r>
      <w:r w:rsidR="007E37F8" w:rsidRPr="007E37F8">
        <w:rPr>
          <w:rFonts w:ascii="Calibri" w:eastAsia="Calibri" w:hAnsi="Calibri" w:cs="Times New Roman"/>
        </w:rPr>
        <w:t>Northwest Power and Conservation Council’s Pacific Northwest Power Supply Adequacy Assessment for 2024 dated Oct.31, 2019</w:t>
      </w:r>
    </w:p>
    <w:p w14:paraId="1DC8C24A" w14:textId="5614F55D" w:rsidR="003815E5" w:rsidRPr="007E37F8" w:rsidRDefault="003815E5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No, it only includes Pacific Northwest states</w:t>
      </w:r>
    </w:p>
    <w:p w14:paraId="0F53133F" w14:textId="02336A0B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If FBC is long in capacity, is market resource adequacy really a concern</w:t>
      </w:r>
      <w:r w:rsidR="00427052">
        <w:rPr>
          <w:rFonts w:ascii="Calibri" w:eastAsia="Calibri" w:hAnsi="Calibri" w:cs="Times New Roman"/>
        </w:rPr>
        <w:t>?</w:t>
      </w:r>
    </w:p>
    <w:p w14:paraId="011622D2" w14:textId="35CCC23F" w:rsid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Not right now, but the load scenarios suggest there is load uncertainty in the future.  If FBC load was to increase materially, this might become more of a conc</w:t>
      </w:r>
      <w:r w:rsidR="00427052">
        <w:rPr>
          <w:rFonts w:ascii="Calibri" w:eastAsia="Calibri" w:hAnsi="Calibri" w:cs="Times New Roman"/>
        </w:rPr>
        <w:t>ern</w:t>
      </w:r>
    </w:p>
    <w:p w14:paraId="3890C2D4" w14:textId="7825ED84" w:rsidR="00B31ED9" w:rsidRDefault="00427052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FBC may continue to rely on market energy but reliance on market capacity may be a risk that FBC </w:t>
      </w:r>
      <w:r w:rsidR="002D54D0">
        <w:rPr>
          <w:rFonts w:ascii="Calibri" w:eastAsia="Calibri" w:hAnsi="Calibri" w:cs="Times New Roman"/>
        </w:rPr>
        <w:t>discusses</w:t>
      </w:r>
      <w:r>
        <w:rPr>
          <w:rFonts w:ascii="Calibri" w:eastAsia="Calibri" w:hAnsi="Calibri" w:cs="Times New Roman"/>
        </w:rPr>
        <w:t xml:space="preserve"> in this LTERP</w:t>
      </w:r>
    </w:p>
    <w:p w14:paraId="160199AD" w14:textId="6D3C42E0" w:rsidR="00D12651" w:rsidRDefault="00B31ED9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Market energy </w:t>
      </w:r>
      <w:r w:rsidRPr="00B31ED9">
        <w:rPr>
          <w:rFonts w:ascii="Calibri" w:eastAsia="Calibri" w:hAnsi="Calibri" w:cs="Times New Roman"/>
        </w:rPr>
        <w:t>prices may increase due to competition from hydrogen, data centers, and other large load drivers that are not temperature sensitive</w:t>
      </w:r>
    </w:p>
    <w:p w14:paraId="3BDE8CA0" w14:textId="77777777" w:rsidR="00B31ED9" w:rsidRPr="00D12651" w:rsidRDefault="00B31ED9" w:rsidP="00B31ED9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6713758" w14:textId="460A6369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 Is there going to be a big discussion on the Columbia River Treaty </w:t>
      </w:r>
      <w:r w:rsidR="00B55BF6">
        <w:rPr>
          <w:rFonts w:ascii="Calibri" w:eastAsia="Calibri" w:hAnsi="Calibri" w:cs="Times New Roman"/>
        </w:rPr>
        <w:t xml:space="preserve">(CRT) </w:t>
      </w:r>
      <w:r w:rsidRPr="00D12651">
        <w:rPr>
          <w:rFonts w:ascii="Calibri" w:eastAsia="Calibri" w:hAnsi="Calibri" w:cs="Times New Roman"/>
        </w:rPr>
        <w:t>in the LTERP application?</w:t>
      </w:r>
    </w:p>
    <w:p w14:paraId="50651F55" w14:textId="7B10A40D" w:rsidR="00D12651" w:rsidRPr="00D12651" w:rsidRDefault="00B55BF6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expects t</w:t>
      </w:r>
      <w:r w:rsidR="00D12651" w:rsidRPr="00D12651">
        <w:rPr>
          <w:rFonts w:ascii="Calibri" w:eastAsia="Calibri" w:hAnsi="Calibri" w:cs="Times New Roman"/>
        </w:rPr>
        <w:t xml:space="preserve">here will be a small discussion in the planning </w:t>
      </w:r>
      <w:r>
        <w:rPr>
          <w:rFonts w:ascii="Calibri" w:eastAsia="Calibri" w:hAnsi="Calibri" w:cs="Times New Roman"/>
        </w:rPr>
        <w:t xml:space="preserve">environment </w:t>
      </w:r>
      <w:r w:rsidR="00D12651" w:rsidRPr="00D12651">
        <w:rPr>
          <w:rFonts w:ascii="Calibri" w:eastAsia="Calibri" w:hAnsi="Calibri" w:cs="Times New Roman"/>
        </w:rPr>
        <w:t>section, but anticipate</w:t>
      </w:r>
      <w:r w:rsidR="00BD6180">
        <w:rPr>
          <w:rFonts w:ascii="Calibri" w:eastAsia="Calibri" w:hAnsi="Calibri" w:cs="Times New Roman"/>
        </w:rPr>
        <w:t>s</w:t>
      </w:r>
      <w:r w:rsidR="00D12651" w:rsidRPr="00D12651">
        <w:rPr>
          <w:rFonts w:ascii="Calibri" w:eastAsia="Calibri" w:hAnsi="Calibri" w:cs="Times New Roman"/>
        </w:rPr>
        <w:t xml:space="preserve"> that BCH will provide a more in-depth discussion as they are the representing entity</w:t>
      </w:r>
      <w:r>
        <w:rPr>
          <w:rFonts w:ascii="Calibri" w:eastAsia="Calibri" w:hAnsi="Calibri" w:cs="Times New Roman"/>
        </w:rPr>
        <w:t xml:space="preserve"> for the CRT</w:t>
      </w:r>
    </w:p>
    <w:p w14:paraId="526FDD17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288193B3" w14:textId="057E03BC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What is the connection between FBC resources and the </w:t>
      </w:r>
      <w:r w:rsidR="001B3D15">
        <w:rPr>
          <w:rFonts w:ascii="Calibri" w:eastAsia="Calibri" w:hAnsi="Calibri" w:cs="Times New Roman"/>
        </w:rPr>
        <w:t>Canal Plant Agreement (</w:t>
      </w:r>
      <w:r w:rsidRPr="00D12651">
        <w:rPr>
          <w:rFonts w:ascii="Calibri" w:eastAsia="Calibri" w:hAnsi="Calibri" w:cs="Times New Roman"/>
        </w:rPr>
        <w:t>CPA</w:t>
      </w:r>
      <w:r w:rsidR="001B3D15">
        <w:rPr>
          <w:rFonts w:ascii="Calibri" w:eastAsia="Calibri" w:hAnsi="Calibri" w:cs="Times New Roman"/>
        </w:rPr>
        <w:t>)</w:t>
      </w:r>
      <w:r w:rsidRPr="00D12651">
        <w:rPr>
          <w:rFonts w:ascii="Calibri" w:eastAsia="Calibri" w:hAnsi="Calibri" w:cs="Times New Roman"/>
        </w:rPr>
        <w:t>?</w:t>
      </w:r>
    </w:p>
    <w:p w14:paraId="0E0BF36D" w14:textId="31BA9115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lastRenderedPageBreak/>
        <w:t>Dan provided a h</w:t>
      </w:r>
      <w:r w:rsidR="001B3D15">
        <w:rPr>
          <w:rFonts w:ascii="Calibri" w:eastAsia="Calibri" w:hAnsi="Calibri" w:cs="Times New Roman"/>
        </w:rPr>
        <w:t>igh-level overview of the CPA - i</w:t>
      </w:r>
      <w:r w:rsidRPr="00D12651">
        <w:rPr>
          <w:rFonts w:ascii="Calibri" w:eastAsia="Calibri" w:hAnsi="Calibri" w:cs="Times New Roman"/>
        </w:rPr>
        <w:t>n short, BCH gets dispatch rights and in exchange FBC gets a fixed entitlement</w:t>
      </w:r>
    </w:p>
    <w:p w14:paraId="7B865551" w14:textId="1432D4BE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FBC is responsible for </w:t>
      </w:r>
      <w:r w:rsidR="00AE7992">
        <w:rPr>
          <w:rFonts w:ascii="Calibri" w:eastAsia="Calibri" w:hAnsi="Calibri" w:cs="Times New Roman"/>
        </w:rPr>
        <w:t xml:space="preserve">managing </w:t>
      </w:r>
      <w:r w:rsidRPr="00D12651">
        <w:rPr>
          <w:rFonts w:ascii="Calibri" w:eastAsia="Calibri" w:hAnsi="Calibri" w:cs="Times New Roman"/>
        </w:rPr>
        <w:t xml:space="preserve">Kootenay Lake </w:t>
      </w:r>
      <w:r w:rsidR="001B3D15">
        <w:rPr>
          <w:rFonts w:ascii="Calibri" w:eastAsia="Calibri" w:hAnsi="Calibri" w:cs="Times New Roman"/>
        </w:rPr>
        <w:t xml:space="preserve">levels </w:t>
      </w:r>
      <w:r w:rsidRPr="00D12651">
        <w:rPr>
          <w:rFonts w:ascii="Calibri" w:eastAsia="Calibri" w:hAnsi="Calibri" w:cs="Times New Roman"/>
        </w:rPr>
        <w:t>(</w:t>
      </w:r>
      <w:r w:rsidR="001B3D15">
        <w:rPr>
          <w:rFonts w:ascii="Calibri" w:eastAsia="Calibri" w:hAnsi="Calibri" w:cs="Times New Roman"/>
        </w:rPr>
        <w:t xml:space="preserve">under </w:t>
      </w:r>
      <w:r w:rsidRPr="00D12651">
        <w:rPr>
          <w:rFonts w:ascii="Calibri" w:eastAsia="Calibri" w:hAnsi="Calibri" w:cs="Times New Roman"/>
        </w:rPr>
        <w:t xml:space="preserve">the </w:t>
      </w:r>
      <w:r w:rsidR="001B3D15">
        <w:rPr>
          <w:rFonts w:ascii="Calibri" w:eastAsia="Calibri" w:hAnsi="Calibri" w:cs="Times New Roman"/>
        </w:rPr>
        <w:t>International Joint Commission (</w:t>
      </w:r>
      <w:r w:rsidRPr="00D12651">
        <w:rPr>
          <w:rFonts w:ascii="Calibri" w:eastAsia="Calibri" w:hAnsi="Calibri" w:cs="Times New Roman"/>
        </w:rPr>
        <w:t>IJC</w:t>
      </w:r>
      <w:r w:rsidR="001B3D15">
        <w:rPr>
          <w:rFonts w:ascii="Calibri" w:eastAsia="Calibri" w:hAnsi="Calibri" w:cs="Times New Roman"/>
        </w:rPr>
        <w:t>)</w:t>
      </w:r>
      <w:r w:rsidRPr="00D12651">
        <w:rPr>
          <w:rFonts w:ascii="Calibri" w:eastAsia="Calibri" w:hAnsi="Calibri" w:cs="Times New Roman"/>
        </w:rPr>
        <w:t xml:space="preserve"> order)</w:t>
      </w:r>
      <w:r w:rsidR="00AE7992">
        <w:rPr>
          <w:rFonts w:ascii="Calibri" w:eastAsia="Calibri" w:hAnsi="Calibri" w:cs="Times New Roman"/>
        </w:rPr>
        <w:t>, but BCH controls the generation flows</w:t>
      </w:r>
    </w:p>
    <w:p w14:paraId="6B83F185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3FD56723" w14:textId="468C939B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 Does FBC have any annual variability in the entitlements</w:t>
      </w:r>
      <w:r w:rsidR="00A771FE">
        <w:rPr>
          <w:rFonts w:ascii="Calibri" w:eastAsia="Calibri" w:hAnsi="Calibri" w:cs="Times New Roman"/>
        </w:rPr>
        <w:t>?</w:t>
      </w:r>
      <w:r w:rsidRPr="00D12651">
        <w:rPr>
          <w:rFonts w:ascii="Calibri" w:eastAsia="Calibri" w:hAnsi="Calibri" w:cs="Times New Roman"/>
        </w:rPr>
        <w:t xml:space="preserve"> </w:t>
      </w:r>
    </w:p>
    <w:p w14:paraId="78E2923D" w14:textId="5CFDA48C" w:rsidR="00D12651" w:rsidRPr="00D12651" w:rsidRDefault="00C40B4A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D12651" w:rsidRPr="00D12651">
        <w:rPr>
          <w:rFonts w:ascii="Calibri" w:eastAsia="Calibri" w:hAnsi="Calibri" w:cs="Times New Roman"/>
        </w:rPr>
        <w:t xml:space="preserve">o, </w:t>
      </w:r>
      <w:r w:rsidR="00A771FE">
        <w:rPr>
          <w:rFonts w:ascii="Calibri" w:eastAsia="Calibri" w:hAnsi="Calibri" w:cs="Times New Roman"/>
        </w:rPr>
        <w:t xml:space="preserve">the CPA </w:t>
      </w:r>
      <w:r w:rsidR="00D12651" w:rsidRPr="00D12651">
        <w:rPr>
          <w:rFonts w:ascii="Calibri" w:eastAsia="Calibri" w:hAnsi="Calibri" w:cs="Times New Roman"/>
        </w:rPr>
        <w:t>entitlements are fixed</w:t>
      </w:r>
      <w:r>
        <w:rPr>
          <w:rFonts w:ascii="Calibri" w:eastAsia="Calibri" w:hAnsi="Calibri" w:cs="Times New Roman"/>
        </w:rPr>
        <w:t xml:space="preserve"> – but could be reviewed in the future</w:t>
      </w:r>
      <w:r w:rsidR="00D12651" w:rsidRPr="00D12651">
        <w:rPr>
          <w:rFonts w:ascii="Calibri" w:eastAsia="Calibri" w:hAnsi="Calibri" w:cs="Times New Roman"/>
        </w:rPr>
        <w:t xml:space="preserve"> </w:t>
      </w:r>
    </w:p>
    <w:p w14:paraId="271116E9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55A8C016" w14:textId="678A1008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Q; Have any municipal government declared climate emergencies in our service territories</w:t>
      </w:r>
      <w:r w:rsidR="0077605E">
        <w:rPr>
          <w:rFonts w:ascii="Calibri" w:eastAsia="Calibri" w:hAnsi="Calibri" w:cs="Times New Roman"/>
        </w:rPr>
        <w:t>?</w:t>
      </w:r>
    </w:p>
    <w:p w14:paraId="45DDE4DB" w14:textId="783BE07F" w:rsidR="00D12651" w:rsidRPr="00D12651" w:rsidRDefault="0077605E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is not</w:t>
      </w:r>
      <w:r w:rsidR="00D12651" w:rsidRPr="00D12651">
        <w:rPr>
          <w:rFonts w:ascii="Calibri" w:eastAsia="Calibri" w:hAnsi="Calibri" w:cs="Times New Roman"/>
        </w:rPr>
        <w:t xml:space="preserve"> are aware of</w:t>
      </w:r>
      <w:r>
        <w:rPr>
          <w:rFonts w:ascii="Calibri" w:eastAsia="Calibri" w:hAnsi="Calibri" w:cs="Times New Roman"/>
        </w:rPr>
        <w:t xml:space="preserve"> any but recognizes</w:t>
      </w:r>
      <w:r w:rsidR="00D12651" w:rsidRPr="00D12651">
        <w:rPr>
          <w:rFonts w:ascii="Calibri" w:eastAsia="Calibri" w:hAnsi="Calibri" w:cs="Times New Roman"/>
        </w:rPr>
        <w:t xml:space="preserve"> that other jurisdictions have done so and it is a possibility in the future</w:t>
      </w:r>
    </w:p>
    <w:p w14:paraId="6CA18FBB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1F26C16A" w14:textId="22D4B1E0" w:rsidR="00D12651" w:rsidRPr="00D12651" w:rsidRDefault="008E273C" w:rsidP="00D12651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8E273C">
        <w:rPr>
          <w:rFonts w:ascii="Calibri" w:eastAsia="Calibri" w:hAnsi="Calibri" w:cs="Times New Roman"/>
          <w:b/>
          <w:sz w:val="24"/>
          <w:szCs w:val="24"/>
        </w:rPr>
        <w:t xml:space="preserve">Customer Profile, Trends and Load Forecasting </w:t>
      </w:r>
    </w:p>
    <w:p w14:paraId="4316184E" w14:textId="3DE36803" w:rsidR="00CE5510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 xml:space="preserve">omment:  </w:t>
      </w:r>
    </w:p>
    <w:p w14:paraId="2CD6C80A" w14:textId="4DB148DF" w:rsidR="00D12651" w:rsidRPr="00CE5510" w:rsidRDefault="00D1265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CE5510">
        <w:rPr>
          <w:rFonts w:ascii="Calibri" w:eastAsia="Calibri" w:hAnsi="Calibri" w:cs="Times New Roman"/>
        </w:rPr>
        <w:t>The purpose of the slider tool should be used to look at s</w:t>
      </w:r>
      <w:r w:rsidR="0015062E" w:rsidRPr="00CE5510">
        <w:rPr>
          <w:rFonts w:ascii="Calibri" w:eastAsia="Calibri" w:hAnsi="Calibri" w:cs="Times New Roman"/>
        </w:rPr>
        <w:t>cenario extremes, not averages as there is less value when looking at an average</w:t>
      </w:r>
    </w:p>
    <w:p w14:paraId="46C4FAE1" w14:textId="19BBEE49" w:rsidR="00D12651" w:rsidRPr="00D12651" w:rsidRDefault="0015062E" w:rsidP="00CE5510">
      <w:p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plans to show all the stakeholder-produced forecasts generated from the slider tool as well as show the average in order to provide comparisons to the FBC reference case load forecast and scenarios</w:t>
      </w:r>
    </w:p>
    <w:p w14:paraId="0DD95C03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66ABA37F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Is there is a difference between the reference case vs business as usual?  </w:t>
      </w:r>
    </w:p>
    <w:p w14:paraId="61AC391E" w14:textId="5BEDC66A" w:rsid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business as usual is based on </w:t>
      </w:r>
      <w:r w:rsidR="00224AA4">
        <w:rPr>
          <w:rFonts w:ascii="Calibri" w:eastAsia="Calibri" w:hAnsi="Calibri" w:cs="Times New Roman"/>
        </w:rPr>
        <w:t xml:space="preserve">historical load </w:t>
      </w:r>
      <w:r w:rsidRPr="00D12651">
        <w:rPr>
          <w:rFonts w:ascii="Calibri" w:eastAsia="Calibri" w:hAnsi="Calibri" w:cs="Times New Roman"/>
        </w:rPr>
        <w:t xml:space="preserve">and the reference case include </w:t>
      </w:r>
      <w:r w:rsidR="009D1785">
        <w:rPr>
          <w:rFonts w:ascii="Calibri" w:eastAsia="Calibri" w:hAnsi="Calibri" w:cs="Times New Roman"/>
        </w:rPr>
        <w:t xml:space="preserve">non-historical load drivers such as the </w:t>
      </w:r>
      <w:r w:rsidRPr="00D12651">
        <w:rPr>
          <w:rFonts w:ascii="Calibri" w:eastAsia="Calibri" w:hAnsi="Calibri" w:cs="Times New Roman"/>
        </w:rPr>
        <w:t>things the utility believe</w:t>
      </w:r>
      <w:r w:rsidR="00224AA4">
        <w:rPr>
          <w:rFonts w:ascii="Calibri" w:eastAsia="Calibri" w:hAnsi="Calibri" w:cs="Times New Roman"/>
        </w:rPr>
        <w:t>s</w:t>
      </w:r>
      <w:r w:rsidRPr="00D12651">
        <w:rPr>
          <w:rFonts w:ascii="Calibri" w:eastAsia="Calibri" w:hAnsi="Calibri" w:cs="Times New Roman"/>
        </w:rPr>
        <w:t xml:space="preserve"> are very likely to happen in the future</w:t>
      </w:r>
    </w:p>
    <w:p w14:paraId="0E3CE686" w14:textId="77777777" w:rsidR="00224AA4" w:rsidRPr="00D12651" w:rsidRDefault="00224AA4" w:rsidP="00224AA4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27182903" w14:textId="22AFFA84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What is the definition of </w:t>
      </w:r>
      <w:r w:rsidR="00C150D7">
        <w:rPr>
          <w:rFonts w:ascii="Calibri" w:eastAsia="Calibri" w:hAnsi="Calibri" w:cs="Times New Roman"/>
        </w:rPr>
        <w:t xml:space="preserve">certainty or </w:t>
      </w:r>
      <w:r w:rsidRPr="00D12651">
        <w:rPr>
          <w:rFonts w:ascii="Calibri" w:eastAsia="Calibri" w:hAnsi="Calibri" w:cs="Times New Roman"/>
        </w:rPr>
        <w:t>‘something that will happen’</w:t>
      </w:r>
      <w:r w:rsidR="00DE2412">
        <w:rPr>
          <w:rFonts w:ascii="Calibri" w:eastAsia="Calibri" w:hAnsi="Calibri" w:cs="Times New Roman"/>
        </w:rPr>
        <w:t xml:space="preserve"> in the future</w:t>
      </w:r>
      <w:r w:rsidRPr="00D12651">
        <w:rPr>
          <w:rFonts w:ascii="Calibri" w:eastAsia="Calibri" w:hAnsi="Calibri" w:cs="Times New Roman"/>
        </w:rPr>
        <w:t>?</w:t>
      </w:r>
    </w:p>
    <w:p w14:paraId="64EA2E41" w14:textId="5E94F1A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FBC </w:t>
      </w:r>
      <w:r w:rsidR="00224AA4">
        <w:rPr>
          <w:rFonts w:ascii="Calibri" w:eastAsia="Calibri" w:hAnsi="Calibri" w:cs="Times New Roman"/>
        </w:rPr>
        <w:t>recognized this is somewhat subjective but it is intended to include load commitments and plans</w:t>
      </w:r>
      <w:r w:rsidRPr="00D12651">
        <w:rPr>
          <w:rFonts w:ascii="Calibri" w:eastAsia="Calibri" w:hAnsi="Calibri" w:cs="Times New Roman"/>
        </w:rPr>
        <w:t xml:space="preserve"> embedded</w:t>
      </w:r>
      <w:r w:rsidR="00224AA4">
        <w:rPr>
          <w:rFonts w:ascii="Calibri" w:eastAsia="Calibri" w:hAnsi="Calibri" w:cs="Times New Roman"/>
        </w:rPr>
        <w:t xml:space="preserve"> in regulations such as the Zero Emission Vehicle (ZEV) Act targets</w:t>
      </w:r>
    </w:p>
    <w:p w14:paraId="06FD6F79" w14:textId="2ABB4129" w:rsidR="00D12651" w:rsidRPr="00D12651" w:rsidRDefault="00224AA4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Not all of the items included within the CleanBC plan, such as deep electrification of space and water heating, are embedded in regulations</w:t>
      </w:r>
    </w:p>
    <w:p w14:paraId="43AA3219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7350CB4F" w14:textId="23D965BA" w:rsidR="00D12651" w:rsidRPr="00D12651" w:rsidRDefault="00CE5510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Q. Why is </w:t>
      </w:r>
      <w:r w:rsidR="00D12651" w:rsidRPr="00D12651">
        <w:rPr>
          <w:rFonts w:ascii="Calibri" w:eastAsia="Calibri" w:hAnsi="Calibri" w:cs="Times New Roman"/>
        </w:rPr>
        <w:t>the forecast on the g</w:t>
      </w:r>
      <w:r>
        <w:rPr>
          <w:rFonts w:ascii="Calibri" w:eastAsia="Calibri" w:hAnsi="Calibri" w:cs="Times New Roman"/>
        </w:rPr>
        <w:t>as side</w:t>
      </w:r>
      <w:r w:rsidR="00224AA4">
        <w:rPr>
          <w:rFonts w:ascii="Calibri" w:eastAsia="Calibri" w:hAnsi="Calibri" w:cs="Times New Roman"/>
        </w:rPr>
        <w:t xml:space="preserve"> end-use, but not end-</w:t>
      </w:r>
      <w:r>
        <w:rPr>
          <w:rFonts w:ascii="Calibri" w:eastAsia="Calibri" w:hAnsi="Calibri" w:cs="Times New Roman"/>
        </w:rPr>
        <w:t>use on the electric side?</w:t>
      </w:r>
      <w:r w:rsidR="00D12651" w:rsidRPr="00D12651">
        <w:rPr>
          <w:rFonts w:ascii="Calibri" w:eastAsia="Calibri" w:hAnsi="Calibri" w:cs="Times New Roman"/>
        </w:rPr>
        <w:t xml:space="preserve">  </w:t>
      </w:r>
    </w:p>
    <w:p w14:paraId="7D949AEB" w14:textId="2E7BE304" w:rsidR="00D12651" w:rsidRDefault="00CE5510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D12651" w:rsidRPr="00D12651">
        <w:rPr>
          <w:rFonts w:ascii="Calibri" w:eastAsia="Calibri" w:hAnsi="Calibri" w:cs="Times New Roman"/>
        </w:rPr>
        <w:t>here are many more end uses for elec</w:t>
      </w:r>
      <w:r w:rsidR="00224AA4">
        <w:rPr>
          <w:rFonts w:ascii="Calibri" w:eastAsia="Calibri" w:hAnsi="Calibri" w:cs="Times New Roman"/>
        </w:rPr>
        <w:t>tricity than gas, making an end-</w:t>
      </w:r>
      <w:r w:rsidR="00D12651" w:rsidRPr="00D12651">
        <w:rPr>
          <w:rFonts w:ascii="Calibri" w:eastAsia="Calibri" w:hAnsi="Calibri" w:cs="Times New Roman"/>
        </w:rPr>
        <w:t>use forecast more difficult to develop</w:t>
      </w:r>
    </w:p>
    <w:p w14:paraId="61C0D250" w14:textId="58D06FD8" w:rsidR="00D16B6F" w:rsidRPr="00D12651" w:rsidRDefault="00D16B6F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gas side</w:t>
      </w:r>
      <w:r w:rsidRPr="00D16B6F">
        <w:rPr>
          <w:rFonts w:ascii="Calibri" w:eastAsia="Calibri" w:hAnsi="Calibri" w:cs="Times New Roman"/>
        </w:rPr>
        <w:t xml:space="preserve"> uses an end-use method whereas the LTERP uses a more macro-approach to calculating scenario load deflection but the taxonomy seeks to align across resource plans</w:t>
      </w:r>
    </w:p>
    <w:p w14:paraId="41416B76" w14:textId="77777777" w:rsidR="00D07B05" w:rsidRDefault="00D07B05" w:rsidP="00D07B05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082813" w14:textId="5EA1D2D6" w:rsidR="00D12651" w:rsidRPr="00D12651" w:rsidRDefault="00D07B05" w:rsidP="00D12651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Load Drivers and Scenarios</w:t>
      </w:r>
    </w:p>
    <w:p w14:paraId="58F640BC" w14:textId="0EC7B402" w:rsidR="00D12651" w:rsidRPr="00D12651" w:rsidRDefault="00832FCC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Q: How will FortisBC</w:t>
      </w:r>
      <w:r w:rsidR="00D12651" w:rsidRPr="00D12651">
        <w:rPr>
          <w:rFonts w:ascii="Calibri" w:eastAsia="Calibri" w:hAnsi="Calibri" w:cs="Times New Roman"/>
        </w:rPr>
        <w:t xml:space="preserve"> address the conflict between the gas and electric </w:t>
      </w:r>
      <w:r>
        <w:rPr>
          <w:rFonts w:ascii="Calibri" w:eastAsia="Calibri" w:hAnsi="Calibri" w:cs="Times New Roman"/>
        </w:rPr>
        <w:t xml:space="preserve">resource </w:t>
      </w:r>
      <w:r w:rsidR="00D12651" w:rsidRPr="00D12651">
        <w:rPr>
          <w:rFonts w:ascii="Calibri" w:eastAsia="Calibri" w:hAnsi="Calibri" w:cs="Times New Roman"/>
        </w:rPr>
        <w:t>plans?  Is the electric side going to downplay electrification because of the gas business?</w:t>
      </w:r>
      <w:r w:rsidR="00493226">
        <w:rPr>
          <w:rFonts w:ascii="Calibri" w:eastAsia="Calibri" w:hAnsi="Calibri" w:cs="Times New Roman"/>
        </w:rPr>
        <w:t xml:space="preserve"> </w:t>
      </w:r>
    </w:p>
    <w:p w14:paraId="381992A2" w14:textId="77777777" w:rsidR="00832FCC" w:rsidRDefault="00832FC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FortisBC intends to explore electrification and diversified load scenarios in the gas and electric resource plans</w:t>
      </w:r>
    </w:p>
    <w:p w14:paraId="7A1E5259" w14:textId="57855862" w:rsidR="00D12651" w:rsidRPr="00D12651" w:rsidRDefault="00832FC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is no certainty at this point which load scena</w:t>
      </w:r>
      <w:r w:rsidR="00FD352F">
        <w:rPr>
          <w:rFonts w:ascii="Calibri" w:eastAsia="Calibri" w:hAnsi="Calibri" w:cs="Times New Roman"/>
        </w:rPr>
        <w:t>rio will play out in the future, nor is FBC planning to assign probabilities to the scenarios</w:t>
      </w:r>
    </w:p>
    <w:p w14:paraId="784A094E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4B53E19B" w14:textId="4D50AC0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Does </w:t>
      </w:r>
      <w:r w:rsidR="00832FCC">
        <w:rPr>
          <w:rFonts w:ascii="Calibri" w:eastAsia="Calibri" w:hAnsi="Calibri" w:cs="Times New Roman"/>
        </w:rPr>
        <w:t xml:space="preserve">solar </w:t>
      </w:r>
      <w:r w:rsidRPr="00D12651">
        <w:rPr>
          <w:rFonts w:ascii="Calibri" w:eastAsia="Calibri" w:hAnsi="Calibri" w:cs="Times New Roman"/>
        </w:rPr>
        <w:t xml:space="preserve">PV </w:t>
      </w:r>
      <w:r w:rsidR="00FD352F">
        <w:rPr>
          <w:rFonts w:ascii="Calibri" w:eastAsia="Calibri" w:hAnsi="Calibri" w:cs="Times New Roman"/>
        </w:rPr>
        <w:t>impact</w:t>
      </w:r>
      <w:r w:rsidRPr="00D12651">
        <w:rPr>
          <w:rFonts w:ascii="Calibri" w:eastAsia="Calibri" w:hAnsi="Calibri" w:cs="Times New Roman"/>
        </w:rPr>
        <w:t xml:space="preserve"> capacity</w:t>
      </w:r>
      <w:r w:rsidR="00FD352F">
        <w:rPr>
          <w:rFonts w:ascii="Calibri" w:eastAsia="Calibri" w:hAnsi="Calibri" w:cs="Times New Roman"/>
        </w:rPr>
        <w:t xml:space="preserve"> requirements</w:t>
      </w:r>
      <w:r w:rsidRPr="00D12651">
        <w:rPr>
          <w:rFonts w:ascii="Calibri" w:eastAsia="Calibri" w:hAnsi="Calibri" w:cs="Times New Roman"/>
        </w:rPr>
        <w:t>?  What happens if batteries are charged during the peak hour?</w:t>
      </w:r>
    </w:p>
    <w:p w14:paraId="6C02E347" w14:textId="4D5447D7" w:rsidR="00D12651" w:rsidRPr="00D12651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>omment</w:t>
      </w:r>
      <w:r w:rsidR="00CE5510">
        <w:rPr>
          <w:rFonts w:ascii="Calibri" w:eastAsia="Calibri" w:hAnsi="Calibri" w:cs="Times New Roman"/>
        </w:rPr>
        <w:t>s</w:t>
      </w:r>
      <w:r w:rsidR="00D12651" w:rsidRPr="00D12651">
        <w:rPr>
          <w:rFonts w:ascii="Calibri" w:eastAsia="Calibri" w:hAnsi="Calibri" w:cs="Times New Roman"/>
        </w:rPr>
        <w:t>:</w:t>
      </w:r>
    </w:p>
    <w:p w14:paraId="3E422943" w14:textId="77777777" w:rsidR="00FB4CFA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storage is a policy response (e.g. </w:t>
      </w:r>
      <w:r w:rsidR="00832FCC">
        <w:rPr>
          <w:rFonts w:ascii="Calibri" w:eastAsia="Calibri" w:hAnsi="Calibri" w:cs="Times New Roman"/>
        </w:rPr>
        <w:t>time of use (</w:t>
      </w:r>
      <w:r w:rsidRPr="00D12651">
        <w:rPr>
          <w:rFonts w:ascii="Calibri" w:eastAsia="Calibri" w:hAnsi="Calibri" w:cs="Times New Roman"/>
        </w:rPr>
        <w:t>TOU</w:t>
      </w:r>
      <w:r w:rsidR="00832FCC">
        <w:rPr>
          <w:rFonts w:ascii="Calibri" w:eastAsia="Calibri" w:hAnsi="Calibri" w:cs="Times New Roman"/>
        </w:rPr>
        <w:t>) rates), not an e</w:t>
      </w:r>
      <w:r w:rsidRPr="00D12651">
        <w:rPr>
          <w:rFonts w:ascii="Calibri" w:eastAsia="Calibri" w:hAnsi="Calibri" w:cs="Times New Roman"/>
        </w:rPr>
        <w:t>mbedded component; PV without storage has a more natural economic incentive already</w:t>
      </w:r>
    </w:p>
    <w:p w14:paraId="06503EAE" w14:textId="77777777" w:rsidR="00FB4CFA" w:rsidRDefault="00FB4CFA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Calibri"/>
        </w:rPr>
      </w:pPr>
      <w:r w:rsidRPr="00FB4CFA">
        <w:rPr>
          <w:rFonts w:ascii="Calibri" w:hAnsi="Calibri" w:cs="Calibri"/>
        </w:rPr>
        <w:t xml:space="preserve">Separating storage out could help make this more informative </w:t>
      </w:r>
    </w:p>
    <w:p w14:paraId="4A620527" w14:textId="77777777" w:rsidR="004A05FA" w:rsidRDefault="00FB4CFA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Calibri"/>
        </w:rPr>
      </w:pPr>
      <w:r w:rsidRPr="00FB4CFA">
        <w:rPr>
          <w:rFonts w:ascii="Calibri" w:hAnsi="Calibri" w:cs="Calibri"/>
        </w:rPr>
        <w:t>At the moment, there is no driver to incent storage</w:t>
      </w:r>
    </w:p>
    <w:p w14:paraId="7839E678" w14:textId="4E724EFC" w:rsidR="008B59B3" w:rsidRDefault="004A05FA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FBC should </w:t>
      </w:r>
      <w:r>
        <w:rPr>
          <w:rFonts w:ascii="Calibri" w:eastAsia="Calibri" w:hAnsi="Calibri" w:cs="Times New Roman"/>
        </w:rPr>
        <w:t>d</w:t>
      </w:r>
      <w:r w:rsidRPr="004A05FA">
        <w:rPr>
          <w:rFonts w:ascii="Calibri" w:eastAsia="Calibri" w:hAnsi="Calibri" w:cs="Times New Roman"/>
        </w:rPr>
        <w:t>istinguish scenarios by whether they are most helpful to the grid versus least helpful to the grid (specifically for solar and batteries)</w:t>
      </w:r>
      <w:r w:rsidR="00665E26">
        <w:rPr>
          <w:rFonts w:ascii="Calibri" w:eastAsia="Calibri" w:hAnsi="Calibri" w:cs="Times New Roman"/>
        </w:rPr>
        <w:t xml:space="preserve"> – this could help drive rates/policies</w:t>
      </w:r>
    </w:p>
    <w:p w14:paraId="78BF94BF" w14:textId="1FBB8709" w:rsidR="008B59B3" w:rsidRPr="009428F1" w:rsidRDefault="008B59B3" w:rsidP="00C96396">
      <w:pPr>
        <w:numPr>
          <w:ilvl w:val="1"/>
          <w:numId w:val="2"/>
        </w:numPr>
        <w:spacing w:after="160" w:line="256" w:lineRule="auto"/>
        <w:contextualSpacing/>
        <w:rPr>
          <w:rFonts w:ascii="Calibri" w:hAnsi="Calibri" w:cs="Calibri"/>
        </w:rPr>
      </w:pPr>
      <w:r w:rsidRPr="008B59B3">
        <w:rPr>
          <w:rFonts w:ascii="Calibri" w:hAnsi="Calibri" w:cs="Calibri"/>
          <w:color w:val="000000"/>
        </w:rPr>
        <w:t>The deep electrification scenario should assume that solar impacts work well with the system</w:t>
      </w:r>
      <w:r w:rsidR="00A0749F">
        <w:rPr>
          <w:rFonts w:ascii="Calibri" w:hAnsi="Calibri" w:cs="Calibri"/>
          <w:color w:val="000000"/>
        </w:rPr>
        <w:t xml:space="preserve"> and storage is used to extend the solar benefit</w:t>
      </w:r>
      <w:r w:rsidRPr="008B59B3">
        <w:rPr>
          <w:rFonts w:ascii="Calibri" w:hAnsi="Calibri" w:cs="Calibri"/>
          <w:color w:val="000000"/>
        </w:rPr>
        <w:t xml:space="preserve"> - the distributed energy future scenario could serve as the counterpoint to this</w:t>
      </w:r>
      <w:r w:rsidR="00A0749F">
        <w:rPr>
          <w:rFonts w:ascii="Calibri" w:hAnsi="Calibri" w:cs="Calibri"/>
          <w:color w:val="000000"/>
        </w:rPr>
        <w:t xml:space="preserve"> as customers charge their batteries when solar generation drops</w:t>
      </w:r>
    </w:p>
    <w:p w14:paraId="7838151F" w14:textId="77777777" w:rsidR="009428F1" w:rsidRPr="008B59B3" w:rsidRDefault="009428F1" w:rsidP="009428F1">
      <w:pPr>
        <w:spacing w:after="160" w:line="256" w:lineRule="auto"/>
        <w:ind w:left="1440"/>
        <w:contextualSpacing/>
        <w:rPr>
          <w:rFonts w:ascii="Calibri" w:hAnsi="Calibri" w:cs="Calibri"/>
        </w:rPr>
      </w:pPr>
    </w:p>
    <w:p w14:paraId="64E80850" w14:textId="4A021C27" w:rsidR="008B59B3" w:rsidRDefault="009428F1" w:rsidP="009428F1">
      <w:pPr>
        <w:spacing w:after="160"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Navigant noted that</w:t>
      </w:r>
      <w:r w:rsidR="001838D3">
        <w:rPr>
          <w:rFonts w:ascii="Calibri" w:hAnsi="Calibri" w:cs="Calibri"/>
        </w:rPr>
        <w:t xml:space="preserve"> FBC could look at different levels of storage for different scenarios since policy/rate initiatives would influence the storage response</w:t>
      </w:r>
      <w:r>
        <w:rPr>
          <w:rFonts w:ascii="Calibri" w:hAnsi="Calibri" w:cs="Calibri"/>
        </w:rPr>
        <w:t>.</w:t>
      </w:r>
    </w:p>
    <w:p w14:paraId="1CF6D695" w14:textId="77777777" w:rsidR="00AC3654" w:rsidRDefault="00AC3654" w:rsidP="00AC3654">
      <w:pPr>
        <w:spacing w:after="160" w:line="256" w:lineRule="auto"/>
        <w:ind w:left="720"/>
        <w:contextualSpacing/>
        <w:rPr>
          <w:rFonts w:ascii="Calibri" w:hAnsi="Calibri" w:cs="Calibri"/>
        </w:rPr>
      </w:pPr>
    </w:p>
    <w:p w14:paraId="2708EFE0" w14:textId="08A30493" w:rsidR="00AC3654" w:rsidRDefault="00AC3654" w:rsidP="00AC3654">
      <w:pPr>
        <w:spacing w:after="160"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Q. how do you handle the interplay of the various load drivers?</w:t>
      </w:r>
    </w:p>
    <w:p w14:paraId="70F33F82" w14:textId="77777777" w:rsidR="00AC3654" w:rsidRPr="004A05FA" w:rsidRDefault="00AC3654" w:rsidP="00AC3654">
      <w:pPr>
        <w:spacing w:after="160" w:line="256" w:lineRule="auto"/>
        <w:contextualSpacing/>
        <w:rPr>
          <w:rFonts w:ascii="Calibri" w:hAnsi="Calibri" w:cs="Calibri"/>
        </w:rPr>
      </w:pPr>
    </w:p>
    <w:p w14:paraId="45F41E8F" w14:textId="786F2432" w:rsidR="004A05FA" w:rsidRPr="00AC3654" w:rsidRDefault="00AC3654" w:rsidP="00AC3654">
      <w:pPr>
        <w:pStyle w:val="ListParagraph"/>
        <w:numPr>
          <w:ilvl w:val="0"/>
          <w:numId w:val="2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>They are kept separate on purpose so you can see the individual effects of each driver</w:t>
      </w:r>
    </w:p>
    <w:p w14:paraId="1DAC9D04" w14:textId="77777777" w:rsidR="00AC3654" w:rsidRPr="004A05FA" w:rsidRDefault="00AC3654" w:rsidP="004A05FA">
      <w:pPr>
        <w:spacing w:after="160" w:line="256" w:lineRule="auto"/>
        <w:ind w:left="720"/>
        <w:contextualSpacing/>
        <w:rPr>
          <w:rFonts w:ascii="Calibri" w:hAnsi="Calibri" w:cs="Calibri"/>
        </w:rPr>
      </w:pPr>
    </w:p>
    <w:p w14:paraId="0D416856" w14:textId="2180CC6D" w:rsidR="00A0749F" w:rsidRDefault="00A0749F" w:rsidP="001E6DC0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Q. Doesn’t synthetic methane result in some carbon emission? Why not just make hydrogen?</w:t>
      </w:r>
    </w:p>
    <w:p w14:paraId="652F2CCA" w14:textId="7C1A4BBB" w:rsidR="00A0749F" w:rsidRPr="00A0749F" w:rsidRDefault="00A0749F" w:rsidP="001E6DC0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You can only inject so much hydrogen into the gas system </w:t>
      </w:r>
    </w:p>
    <w:p w14:paraId="62BAB83E" w14:textId="50EFBC57" w:rsidR="001E6DC0" w:rsidRDefault="009428F1" w:rsidP="001E6DC0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1E6DC0">
        <w:rPr>
          <w:rFonts w:ascii="Calibri" w:eastAsia="Calibri" w:hAnsi="Calibri" w:cs="Times New Roman"/>
        </w:rPr>
        <w:t>omments:</w:t>
      </w:r>
    </w:p>
    <w:p w14:paraId="0C05F30E" w14:textId="77777777" w:rsidR="001E6DC0" w:rsidRDefault="001E6DC0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1E6DC0">
        <w:rPr>
          <w:rFonts w:ascii="Calibri" w:eastAsia="Calibri" w:hAnsi="Calibri" w:cs="Times New Roman"/>
        </w:rPr>
        <w:t xml:space="preserve"> Synthetic methane may slow the transition to a GHG neutral economy - but this would be carbon recycling and could help slow carbon emissions growth</w:t>
      </w:r>
    </w:p>
    <w:p w14:paraId="5A81E4D6" w14:textId="77777777" w:rsidR="001E6DC0" w:rsidRDefault="001E6DC0" w:rsidP="00C96396">
      <w:pPr>
        <w:pStyle w:val="ListParagraph"/>
        <w:numPr>
          <w:ilvl w:val="1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1E6DC0">
        <w:rPr>
          <w:rFonts w:ascii="Calibri" w:eastAsia="Calibri" w:hAnsi="Calibri" w:cs="Times New Roman"/>
        </w:rPr>
        <w:t>Synthetic methane is not energy efficient - multiple operations are required to crack and recombine the elements</w:t>
      </w:r>
    </w:p>
    <w:p w14:paraId="123BA3D3" w14:textId="77777777" w:rsidR="001E6DC0" w:rsidRDefault="001E6DC0" w:rsidP="00C96396">
      <w:pPr>
        <w:pStyle w:val="ListParagraph"/>
        <w:numPr>
          <w:ilvl w:val="1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but</w:t>
      </w:r>
      <w:r w:rsidRPr="001E6DC0">
        <w:rPr>
          <w:rFonts w:ascii="Calibri" w:eastAsia="Calibri" w:hAnsi="Calibri" w:cs="Times New Roman"/>
        </w:rPr>
        <w:t xml:space="preserve"> you have to weigh this against the economics of using cheap electricity during off-peak periods to produce and inject synthetic methane</w:t>
      </w:r>
    </w:p>
    <w:p w14:paraId="5AC3BDDC" w14:textId="6E46190B" w:rsidR="001E6DC0" w:rsidRPr="001E6DC0" w:rsidRDefault="001E6DC0" w:rsidP="00C96396">
      <w:pPr>
        <w:pStyle w:val="ListParagraph"/>
        <w:numPr>
          <w:ilvl w:val="1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1E6DC0">
        <w:rPr>
          <w:rFonts w:ascii="Calibri" w:eastAsia="Calibri" w:hAnsi="Calibri" w:cs="Times New Roman"/>
        </w:rPr>
        <w:t>Synthetic methane can help bridge the engineering practicalities of using renewable gases</w:t>
      </w:r>
    </w:p>
    <w:p w14:paraId="45A39AE9" w14:textId="69752DB9" w:rsidR="001E6DC0" w:rsidRDefault="001E6DC0" w:rsidP="001E6DC0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The Navigant Appendix G in the last 2016 resource plan provides</w:t>
      </w:r>
      <w:r w:rsidRPr="001E6DC0">
        <w:rPr>
          <w:rFonts w:ascii="Calibri" w:eastAsia="Calibri" w:hAnsi="Calibri" w:cs="Times New Roman"/>
        </w:rPr>
        <w:t xml:space="preserve"> an explanation of how the load modeling approach works - the peak shape of each driver is investigated on a monthly basis for t</w:t>
      </w:r>
      <w:r>
        <w:rPr>
          <w:rFonts w:ascii="Calibri" w:eastAsia="Calibri" w:hAnsi="Calibri" w:cs="Times New Roman"/>
        </w:rPr>
        <w:t>he peak period (5</w:t>
      </w:r>
      <w:r w:rsidRPr="001E6DC0">
        <w:rPr>
          <w:rFonts w:ascii="Calibri" w:eastAsia="Calibri" w:hAnsi="Calibri" w:cs="Times New Roman"/>
        </w:rPr>
        <w:t>-7 pm)</w:t>
      </w:r>
      <w:r>
        <w:rPr>
          <w:rFonts w:ascii="Calibri" w:eastAsia="Calibri" w:hAnsi="Calibri" w:cs="Times New Roman"/>
        </w:rPr>
        <w:t>.</w:t>
      </w:r>
    </w:p>
    <w:p w14:paraId="05E2527F" w14:textId="3363F3A2" w:rsidR="00D12651" w:rsidRPr="00D12651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>omments:</w:t>
      </w:r>
    </w:p>
    <w:p w14:paraId="069684FF" w14:textId="6A29D8A2" w:rsidR="00D12651" w:rsidRDefault="00CE5510" w:rsidP="00B41312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B41312">
        <w:rPr>
          <w:rFonts w:ascii="Calibri" w:eastAsia="Calibri" w:hAnsi="Calibri" w:cs="Times New Roman"/>
        </w:rPr>
        <w:t>ne stakeholder expressed more interest</w:t>
      </w:r>
      <w:r w:rsidR="00D12651" w:rsidRPr="00D12651">
        <w:rPr>
          <w:rFonts w:ascii="Calibri" w:eastAsia="Calibri" w:hAnsi="Calibri" w:cs="Times New Roman"/>
        </w:rPr>
        <w:t xml:space="preserve"> in </w:t>
      </w:r>
      <w:r w:rsidR="00B41312">
        <w:rPr>
          <w:rFonts w:ascii="Calibri" w:eastAsia="Calibri" w:hAnsi="Calibri" w:cs="Times New Roman"/>
        </w:rPr>
        <w:t>the</w:t>
      </w:r>
      <w:r w:rsidR="00D12651" w:rsidRPr="00D12651">
        <w:rPr>
          <w:rFonts w:ascii="Calibri" w:eastAsia="Calibri" w:hAnsi="Calibri" w:cs="Times New Roman"/>
        </w:rPr>
        <w:t xml:space="preserve"> capac</w:t>
      </w:r>
      <w:r w:rsidR="00B41312">
        <w:rPr>
          <w:rFonts w:ascii="Calibri" w:eastAsia="Calibri" w:hAnsi="Calibri" w:cs="Times New Roman"/>
        </w:rPr>
        <w:t>ity impact of the load drivers, rather than just the annual energy impacts</w:t>
      </w:r>
      <w:r w:rsidR="00D12651" w:rsidRPr="00D12651">
        <w:rPr>
          <w:rFonts w:ascii="Calibri" w:eastAsia="Calibri" w:hAnsi="Calibri" w:cs="Times New Roman"/>
        </w:rPr>
        <w:t xml:space="preserve">  </w:t>
      </w:r>
    </w:p>
    <w:p w14:paraId="6268AD4B" w14:textId="656539CE" w:rsidR="00665E26" w:rsidRDefault="00665E26" w:rsidP="00B41312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Slide tool should show energy and capacity impacts</w:t>
      </w:r>
    </w:p>
    <w:p w14:paraId="77677CA8" w14:textId="77777777" w:rsidR="00665E26" w:rsidRPr="00D12651" w:rsidRDefault="00665E26" w:rsidP="00665E26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778E8FA" w14:textId="4B80E8F5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How is DSM included in the deep electrification scenarios?  What scenarios encompass DSM already?  </w:t>
      </w:r>
      <w:r w:rsidR="00836B72">
        <w:rPr>
          <w:rFonts w:ascii="Calibri" w:eastAsia="Calibri" w:hAnsi="Calibri" w:cs="Times New Roman"/>
        </w:rPr>
        <w:t>Could DSM offset some of the impacts from load-increasing scenarios?</w:t>
      </w:r>
    </w:p>
    <w:p w14:paraId="0AA04097" w14:textId="76D73AF2" w:rsidR="00836B72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FBC is not</w:t>
      </w:r>
      <w:r w:rsidR="00836B72">
        <w:rPr>
          <w:rFonts w:ascii="Calibri" w:eastAsia="Calibri" w:hAnsi="Calibri" w:cs="Times New Roman"/>
        </w:rPr>
        <w:t xml:space="preserve"> exploring DSM as a load driver</w:t>
      </w:r>
      <w:r w:rsidR="00AB1CF1">
        <w:rPr>
          <w:rFonts w:ascii="Calibri" w:eastAsia="Calibri" w:hAnsi="Calibri" w:cs="Times New Roman"/>
        </w:rPr>
        <w:t xml:space="preserve"> – it is considered outside of the load scenarios</w:t>
      </w:r>
    </w:p>
    <w:p w14:paraId="548E9D74" w14:textId="1F3524F6" w:rsidR="00D12651" w:rsidRDefault="00836B72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 BCUC resource planning guidelines, FBC is required to develop gross load scenarios before DSM is applied</w:t>
      </w:r>
    </w:p>
    <w:p w14:paraId="54D7AE48" w14:textId="0DD8C2C4" w:rsidR="00836B72" w:rsidRPr="00D12651" w:rsidRDefault="00836B72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to determine if it will consider DSM impacts on load scenarios</w:t>
      </w:r>
    </w:p>
    <w:p w14:paraId="76994BF3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6327F422" w14:textId="035E05DA" w:rsidR="00CE5510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 xml:space="preserve">omment: </w:t>
      </w:r>
    </w:p>
    <w:p w14:paraId="101365C9" w14:textId="77777777" w:rsidR="00AB1CF1" w:rsidRDefault="00D1265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CE5510">
        <w:rPr>
          <w:rFonts w:ascii="Calibri" w:eastAsia="Calibri" w:hAnsi="Calibri" w:cs="Times New Roman"/>
        </w:rPr>
        <w:t>Climate change will b</w:t>
      </w:r>
      <w:r w:rsidR="00AB1CF1">
        <w:rPr>
          <w:rFonts w:ascii="Calibri" w:eastAsia="Calibri" w:hAnsi="Calibri" w:cs="Times New Roman"/>
        </w:rPr>
        <w:t>e more dramatic in the future and i</w:t>
      </w:r>
      <w:r w:rsidRPr="00CE5510">
        <w:rPr>
          <w:rFonts w:ascii="Calibri" w:eastAsia="Calibri" w:hAnsi="Calibri" w:cs="Times New Roman"/>
        </w:rPr>
        <w:t>t is too timid assumption to assume historical impacts of weather will be consistent in the future</w:t>
      </w:r>
    </w:p>
    <w:p w14:paraId="0E800746" w14:textId="77777777" w:rsidR="00AB1CF1" w:rsidRDefault="00AB1CF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High EV penetration could be limited by supply constraints</w:t>
      </w:r>
    </w:p>
    <w:p w14:paraId="102AAF5F" w14:textId="77777777" w:rsidR="00842E6F" w:rsidRDefault="00AB1CF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upper boundary scenario should include almost 100% EV sales and deep electrification almost as high</w:t>
      </w:r>
    </w:p>
    <w:p w14:paraId="20943EEB" w14:textId="77777777" w:rsidR="00842E6F" w:rsidRDefault="00842E6F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Smart deep electrification could have energy requirements go up but could use technology, TOU, other to keep peak from increasing</w:t>
      </w:r>
    </w:p>
    <w:p w14:paraId="7203A727" w14:textId="20F3CC95" w:rsidR="00D12651" w:rsidRPr="00CE5510" w:rsidRDefault="00842E6F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Reference case forecast should assume declining UPC trend</w:t>
      </w:r>
      <w:r w:rsidR="00D12651" w:rsidRPr="00CE5510">
        <w:rPr>
          <w:rFonts w:ascii="Calibri" w:eastAsia="Calibri" w:hAnsi="Calibri" w:cs="Times New Roman"/>
        </w:rPr>
        <w:t xml:space="preserve"> </w:t>
      </w:r>
    </w:p>
    <w:p w14:paraId="1130895E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0E129AEA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 In the ‘Gas to Electric’ load driver, is FBC assuming technology as becoming more efficient?</w:t>
      </w:r>
    </w:p>
    <w:p w14:paraId="7ACDCC96" w14:textId="5E1AB38C" w:rsid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FBC will assume technology efficiency as identified in the technical potential of the CPR</w:t>
      </w:r>
    </w:p>
    <w:p w14:paraId="4166DEB2" w14:textId="6E0DDCFD" w:rsidR="00A36BC7" w:rsidRPr="00D12651" w:rsidRDefault="00A36BC7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A36BC7">
        <w:rPr>
          <w:rFonts w:ascii="Calibri" w:eastAsia="Calibri" w:hAnsi="Calibri" w:cs="Times New Roman"/>
        </w:rPr>
        <w:t>Deep electrification should assume very efficient heat pum</w:t>
      </w:r>
      <w:r>
        <w:rPr>
          <w:rFonts w:ascii="Calibri" w:eastAsia="Calibri" w:hAnsi="Calibri" w:cs="Times New Roman"/>
        </w:rPr>
        <w:t>ps that do not exist today - but how can</w:t>
      </w:r>
      <w:r w:rsidRPr="00A36BC7">
        <w:rPr>
          <w:rFonts w:ascii="Calibri" w:eastAsia="Calibri" w:hAnsi="Calibri" w:cs="Times New Roman"/>
        </w:rPr>
        <w:t xml:space="preserve"> scenario planning be tied to reality in this case</w:t>
      </w:r>
      <w:r>
        <w:rPr>
          <w:rFonts w:ascii="Calibri" w:eastAsia="Calibri" w:hAnsi="Calibri" w:cs="Times New Roman"/>
        </w:rPr>
        <w:t>?</w:t>
      </w:r>
    </w:p>
    <w:p w14:paraId="442E7E91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46BA660E" w14:textId="6C9E99E7" w:rsidR="00D12651" w:rsidRPr="00D12651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4B9A">
        <w:rPr>
          <w:rFonts w:ascii="Calibri" w:eastAsia="Calibri" w:hAnsi="Calibri" w:cs="Times New Roman"/>
        </w:rPr>
        <w:t>omment</w:t>
      </w:r>
      <w:r w:rsidR="009B2B55">
        <w:rPr>
          <w:rFonts w:ascii="Calibri" w:eastAsia="Calibri" w:hAnsi="Calibri" w:cs="Times New Roman"/>
        </w:rPr>
        <w:t>s</w:t>
      </w:r>
      <w:r w:rsidR="00D14B9A">
        <w:rPr>
          <w:rFonts w:ascii="Calibri" w:eastAsia="Calibri" w:hAnsi="Calibri" w:cs="Times New Roman"/>
        </w:rPr>
        <w:t>:</w:t>
      </w:r>
    </w:p>
    <w:p w14:paraId="5EB603BD" w14:textId="387BF20F" w:rsidR="009B2B55" w:rsidRDefault="009B2B55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maximum of the </w:t>
      </w:r>
      <w:r w:rsidRPr="009B2B55">
        <w:rPr>
          <w:rFonts w:ascii="Calibri" w:eastAsia="Calibri" w:hAnsi="Calibri" w:cs="Times New Roman"/>
        </w:rPr>
        <w:t>EV driver should exceed the ZEV mandate</w:t>
      </w:r>
    </w:p>
    <w:p w14:paraId="77E9F7B5" w14:textId="33B0D87D" w:rsidR="00D12651" w:rsidRDefault="00DC01B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</w:t>
      </w:r>
      <w:r w:rsidR="00D12651" w:rsidRPr="00D12651">
        <w:rPr>
          <w:rFonts w:ascii="Calibri" w:eastAsia="Calibri" w:hAnsi="Calibri" w:cs="Times New Roman"/>
        </w:rPr>
        <w:t xml:space="preserve"> </w:t>
      </w:r>
      <w:r w:rsidR="00D14B9A">
        <w:rPr>
          <w:rFonts w:ascii="Calibri" w:eastAsia="Calibri" w:hAnsi="Calibri" w:cs="Times New Roman"/>
        </w:rPr>
        <w:t>would be interested in</w:t>
      </w:r>
      <w:r w:rsidR="00D12651" w:rsidRPr="00D12651">
        <w:rPr>
          <w:rFonts w:ascii="Calibri" w:eastAsia="Calibri" w:hAnsi="Calibri" w:cs="Times New Roman"/>
        </w:rPr>
        <w:t xml:space="preserve"> information on GHG c</w:t>
      </w:r>
      <w:r w:rsidR="003B4178">
        <w:rPr>
          <w:rFonts w:ascii="Calibri" w:eastAsia="Calibri" w:hAnsi="Calibri" w:cs="Times New Roman"/>
        </w:rPr>
        <w:t>omparisons among the scenarios, even if an a qualitative level</w:t>
      </w:r>
    </w:p>
    <w:p w14:paraId="226DFFB0" w14:textId="3F467B8E" w:rsidR="00DE0795" w:rsidRDefault="00DE0795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Pr="00DE0795">
        <w:rPr>
          <w:rFonts w:ascii="Calibri" w:eastAsia="Calibri" w:hAnsi="Calibri" w:cs="Times New Roman"/>
        </w:rPr>
        <w:t>he diversified pathway is against government policy - but running these scenarios will help inform the discussion</w:t>
      </w:r>
    </w:p>
    <w:p w14:paraId="0DFEDAC5" w14:textId="5D03E6CB" w:rsidR="00D56D3E" w:rsidRDefault="00D56D3E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6D3E">
        <w:rPr>
          <w:rFonts w:ascii="Calibri" w:eastAsia="Calibri" w:hAnsi="Calibri" w:cs="Times New Roman"/>
        </w:rPr>
        <w:t>Rethink the name of distributed energy future</w:t>
      </w:r>
    </w:p>
    <w:p w14:paraId="4DBB849D" w14:textId="77777777" w:rsidR="00D56D3E" w:rsidRDefault="00D56D3E" w:rsidP="00D56D3E">
      <w:pPr>
        <w:spacing w:after="160" w:line="256" w:lineRule="auto"/>
        <w:ind w:left="360"/>
        <w:contextualSpacing/>
        <w:rPr>
          <w:rFonts w:ascii="Calibri" w:eastAsia="Calibri" w:hAnsi="Calibri" w:cs="Times New Roman"/>
        </w:rPr>
      </w:pPr>
    </w:p>
    <w:p w14:paraId="79B9EA83" w14:textId="563CF4BB" w:rsidR="00D56D3E" w:rsidRDefault="00D56D3E" w:rsidP="00D56D3E">
      <w:pPr>
        <w:spacing w:after="160" w:line="256" w:lineRule="auto"/>
        <w:ind w:left="360"/>
        <w:contextualSpacing/>
        <w:rPr>
          <w:rFonts w:ascii="Calibri" w:eastAsia="Calibri" w:hAnsi="Calibri" w:cs="Times New Roman"/>
        </w:rPr>
      </w:pPr>
      <w:r w:rsidRPr="00D56D3E">
        <w:rPr>
          <w:rFonts w:ascii="Calibri" w:eastAsia="Calibri" w:hAnsi="Calibri" w:cs="Times New Roman"/>
        </w:rPr>
        <w:lastRenderedPageBreak/>
        <w:t>Some stakeholders find the diversified energy future scenario counterintuitive (why would customer switch to natural gas if electricity prices rise when they could switch to even more solar</w:t>
      </w:r>
      <w:r>
        <w:rPr>
          <w:rFonts w:ascii="Calibri" w:eastAsia="Calibri" w:hAnsi="Calibri" w:cs="Times New Roman"/>
        </w:rPr>
        <w:t>?</w:t>
      </w:r>
      <w:r w:rsidRPr="00D56D3E">
        <w:rPr>
          <w:rFonts w:ascii="Calibri" w:eastAsia="Calibri" w:hAnsi="Calibri" w:cs="Times New Roman"/>
        </w:rPr>
        <w:t xml:space="preserve"> - some stakeholder</w:t>
      </w:r>
      <w:r>
        <w:rPr>
          <w:rFonts w:ascii="Calibri" w:eastAsia="Calibri" w:hAnsi="Calibri" w:cs="Times New Roman"/>
        </w:rPr>
        <w:t>s</w:t>
      </w:r>
      <w:r w:rsidRPr="00D56D3E">
        <w:rPr>
          <w:rFonts w:ascii="Calibri" w:eastAsia="Calibri" w:hAnsi="Calibri" w:cs="Times New Roman"/>
        </w:rPr>
        <w:t xml:space="preserve"> think this is extremely unlikely) - other stakeholders like this scenario as a counterpoint to deep electrification</w:t>
      </w:r>
      <w:r>
        <w:rPr>
          <w:rFonts w:ascii="Calibri" w:eastAsia="Calibri" w:hAnsi="Calibri" w:cs="Times New Roman"/>
        </w:rPr>
        <w:t>.</w:t>
      </w:r>
    </w:p>
    <w:p w14:paraId="505C21E3" w14:textId="77777777" w:rsidR="00D07B05" w:rsidRPr="00D12651" w:rsidRDefault="00D07B05" w:rsidP="00D07B05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37DD5AB1" w14:textId="383CC09D" w:rsidR="00D12651" w:rsidRPr="00D12651" w:rsidRDefault="00D07B05" w:rsidP="00D12651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07B05">
        <w:rPr>
          <w:rFonts w:ascii="Calibri" w:eastAsia="Calibri" w:hAnsi="Calibri" w:cs="Times New Roman"/>
          <w:b/>
          <w:sz w:val="24"/>
          <w:szCs w:val="24"/>
        </w:rPr>
        <w:t>Demand-Side Management</w:t>
      </w:r>
    </w:p>
    <w:p w14:paraId="09C99137" w14:textId="10B249E2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The</w:t>
      </w:r>
      <w:r w:rsidR="00542D2B">
        <w:rPr>
          <w:rFonts w:ascii="Calibri" w:eastAsia="Calibri" w:hAnsi="Calibri" w:cs="Times New Roman"/>
        </w:rPr>
        <w:t xml:space="preserve"> costs of renewables have plummeted</w:t>
      </w:r>
      <w:r w:rsidRPr="00D12651">
        <w:rPr>
          <w:rFonts w:ascii="Calibri" w:eastAsia="Calibri" w:hAnsi="Calibri" w:cs="Times New Roman"/>
        </w:rPr>
        <w:t>, what does that do to your DSM avoided costs</w:t>
      </w:r>
      <w:r w:rsidR="00BD0CDC">
        <w:rPr>
          <w:rFonts w:ascii="Calibri" w:eastAsia="Calibri" w:hAnsi="Calibri" w:cs="Times New Roman"/>
        </w:rPr>
        <w:t>/LRMC</w:t>
      </w:r>
      <w:r w:rsidRPr="00D12651">
        <w:rPr>
          <w:rFonts w:ascii="Calibri" w:eastAsia="Calibri" w:hAnsi="Calibri" w:cs="Times New Roman"/>
        </w:rPr>
        <w:t>?</w:t>
      </w:r>
    </w:p>
    <w:p w14:paraId="26ED7E5D" w14:textId="4D4930AE" w:rsidR="00BD0CDC" w:rsidRDefault="00BD0CD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expects the LRMC may decrease with the decline in wind generation costs</w:t>
      </w:r>
    </w:p>
    <w:p w14:paraId="14D4A880" w14:textId="22475DFD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The LRMC does not impact what is possible, but what is e</w:t>
      </w:r>
      <w:r w:rsidR="00BD0CDC">
        <w:rPr>
          <w:rFonts w:ascii="Calibri" w:eastAsia="Calibri" w:hAnsi="Calibri" w:cs="Times New Roman"/>
        </w:rPr>
        <w:t xml:space="preserve">conomical.  FBC is considering </w:t>
      </w:r>
      <w:r w:rsidRPr="00D12651">
        <w:rPr>
          <w:rFonts w:ascii="Calibri" w:eastAsia="Calibri" w:hAnsi="Calibri" w:cs="Times New Roman"/>
        </w:rPr>
        <w:t>investigating sensitivities to the LRMC</w:t>
      </w:r>
    </w:p>
    <w:p w14:paraId="3D50EED9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64E7C516" w14:textId="0C15EF42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Does FBC use average cost vs marginal costs </w:t>
      </w:r>
      <w:r w:rsidR="00BD0CDC">
        <w:rPr>
          <w:rFonts w:ascii="Calibri" w:eastAsia="Calibri" w:hAnsi="Calibri" w:cs="Times New Roman"/>
        </w:rPr>
        <w:t>for DSM cost effective testing?</w:t>
      </w:r>
      <w:r w:rsidRPr="00D12651">
        <w:rPr>
          <w:rFonts w:ascii="Calibri" w:eastAsia="Calibri" w:hAnsi="Calibri" w:cs="Times New Roman"/>
        </w:rPr>
        <w:t xml:space="preserve"> </w:t>
      </w:r>
    </w:p>
    <w:p w14:paraId="2A80B70F" w14:textId="23905654" w:rsid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As per DSM legislation, FBC uses the Long Run Marginal Cost</w:t>
      </w:r>
    </w:p>
    <w:p w14:paraId="734CA031" w14:textId="77777777" w:rsidR="007F6438" w:rsidRPr="00D12651" w:rsidRDefault="007F6438" w:rsidP="007F6438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2AE79A05" w14:textId="0A8AE0C8" w:rsidR="007F6438" w:rsidRPr="007F6438" w:rsidRDefault="007F6438" w:rsidP="007F6438">
      <w:pPr>
        <w:spacing w:after="160" w:line="256" w:lineRule="auto"/>
        <w:rPr>
          <w:rFonts w:ascii="Calibri" w:eastAsia="Calibri" w:hAnsi="Calibri" w:cs="Times New Roman"/>
        </w:rPr>
      </w:pPr>
      <w:r w:rsidRPr="007F6438">
        <w:rPr>
          <w:rFonts w:ascii="Calibri" w:eastAsia="Calibri" w:hAnsi="Calibri" w:cs="Times New Roman"/>
        </w:rPr>
        <w:t xml:space="preserve">Q: </w:t>
      </w:r>
      <w:r>
        <w:rPr>
          <w:rFonts w:ascii="Calibri" w:eastAsia="Calibri" w:hAnsi="Calibri" w:cs="Times New Roman"/>
        </w:rPr>
        <w:t>What is an example of innovative technology?</w:t>
      </w:r>
      <w:r w:rsidRPr="007F6438">
        <w:rPr>
          <w:rFonts w:ascii="Calibri" w:eastAsia="Calibri" w:hAnsi="Calibri" w:cs="Times New Roman"/>
        </w:rPr>
        <w:t xml:space="preserve"> </w:t>
      </w:r>
    </w:p>
    <w:p w14:paraId="5A821A57" w14:textId="07F4AA35" w:rsidR="00AD0645" w:rsidRPr="007F6438" w:rsidRDefault="007F6438" w:rsidP="00D12651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Heat pump water heaters, cold climate heat pumps</w:t>
      </w:r>
    </w:p>
    <w:p w14:paraId="2D06912A" w14:textId="036DC34C" w:rsidR="00AD0645" w:rsidRDefault="00AD0645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Q. </w:t>
      </w:r>
      <w:r w:rsidR="00AD628B">
        <w:rPr>
          <w:rFonts w:ascii="Calibri" w:eastAsia="Calibri" w:hAnsi="Calibri" w:cs="Times New Roman"/>
        </w:rPr>
        <w:t>Are batteries part of the DR pilot</w:t>
      </w:r>
      <w:r>
        <w:rPr>
          <w:rFonts w:ascii="Calibri" w:eastAsia="Calibri" w:hAnsi="Calibri" w:cs="Times New Roman"/>
        </w:rPr>
        <w:t>?</w:t>
      </w:r>
    </w:p>
    <w:p w14:paraId="24E9FBB9" w14:textId="19160A3A" w:rsidR="00AD628B" w:rsidRDefault="00AD628B" w:rsidP="00D12651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No, but could be in the future</w:t>
      </w:r>
    </w:p>
    <w:p w14:paraId="7B211615" w14:textId="75ABEE6E" w:rsidR="00AD628B" w:rsidRPr="00AD628B" w:rsidRDefault="00AD628B" w:rsidP="00AD628B">
      <w:pPr>
        <w:spacing w:after="160" w:line="256" w:lineRule="auto"/>
        <w:rPr>
          <w:rFonts w:ascii="Calibri" w:eastAsia="Calibri" w:hAnsi="Calibri" w:cs="Times New Roman"/>
        </w:rPr>
      </w:pPr>
      <w:r w:rsidRPr="00AD628B">
        <w:rPr>
          <w:rFonts w:ascii="Calibri" w:eastAsia="Calibri" w:hAnsi="Calibri" w:cs="Times New Roman"/>
        </w:rPr>
        <w:t xml:space="preserve">Q. </w:t>
      </w:r>
      <w:r>
        <w:rPr>
          <w:rFonts w:ascii="Calibri" w:eastAsia="Calibri" w:hAnsi="Calibri" w:cs="Times New Roman"/>
        </w:rPr>
        <w:t>Do you coordinate DR with BC Hydro</w:t>
      </w:r>
      <w:r w:rsidRPr="00AD628B">
        <w:rPr>
          <w:rFonts w:ascii="Calibri" w:eastAsia="Calibri" w:hAnsi="Calibri" w:cs="Times New Roman"/>
        </w:rPr>
        <w:t>?</w:t>
      </w:r>
    </w:p>
    <w:p w14:paraId="7D932018" w14:textId="05CF1FED" w:rsidR="00AD628B" w:rsidRPr="00D12651" w:rsidRDefault="00AD628B" w:rsidP="00AD628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AD628B">
        <w:rPr>
          <w:rFonts w:ascii="Calibri" w:eastAsia="Calibri" w:hAnsi="Calibri" w:cs="Times New Roman"/>
        </w:rPr>
        <w:t xml:space="preserve">No, </w:t>
      </w:r>
      <w:r>
        <w:rPr>
          <w:rFonts w:ascii="Calibri" w:eastAsia="Calibri" w:hAnsi="Calibri" w:cs="Times New Roman"/>
        </w:rPr>
        <w:t>but we look to see what they are doing as they have more DR going on</w:t>
      </w:r>
    </w:p>
    <w:p w14:paraId="70FB265E" w14:textId="4D8A7771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How substantial is the issue</w:t>
      </w:r>
      <w:r w:rsidR="00BD0CDC">
        <w:rPr>
          <w:rFonts w:ascii="Calibri" w:eastAsia="Calibri" w:hAnsi="Calibri" w:cs="Times New Roman"/>
        </w:rPr>
        <w:t xml:space="preserve"> of</w:t>
      </w:r>
      <w:r w:rsidRPr="00D12651">
        <w:rPr>
          <w:rFonts w:ascii="Calibri" w:eastAsia="Calibri" w:hAnsi="Calibri" w:cs="Times New Roman"/>
        </w:rPr>
        <w:t xml:space="preserve"> transmission and distribution limits in the summer – is there value </w:t>
      </w:r>
      <w:r w:rsidR="00BD0CDC">
        <w:rPr>
          <w:rFonts w:ascii="Calibri" w:eastAsia="Calibri" w:hAnsi="Calibri" w:cs="Times New Roman"/>
        </w:rPr>
        <w:t>for</w:t>
      </w:r>
      <w:r w:rsidRPr="00D12651">
        <w:rPr>
          <w:rFonts w:ascii="Calibri" w:eastAsia="Calibri" w:hAnsi="Calibri" w:cs="Times New Roman"/>
        </w:rPr>
        <w:t xml:space="preserve"> solar?</w:t>
      </w:r>
    </w:p>
    <w:p w14:paraId="0B261538" w14:textId="77777777" w:rsidR="00BD0CDC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Capacity constraints are different at diff</w:t>
      </w:r>
      <w:r w:rsidR="00BD0CDC">
        <w:rPr>
          <w:rFonts w:ascii="Calibri" w:eastAsia="Calibri" w:hAnsi="Calibri" w:cs="Times New Roman"/>
        </w:rPr>
        <w:t>erent locations on the system</w:t>
      </w:r>
    </w:p>
    <w:p w14:paraId="6DDAF858" w14:textId="77777777" w:rsidR="00BD0CDC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Solar could have value depending on specific feeders</w:t>
      </w:r>
    </w:p>
    <w:p w14:paraId="6DFBCBB2" w14:textId="477BA7A3" w:rsidR="00D12651" w:rsidRPr="00D12651" w:rsidRDefault="00BD0CDC" w:rsidP="00BD0CDC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6FC26D10" w14:textId="1337BE1C" w:rsidR="00D12651" w:rsidRDefault="00BD0CDC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Q. Is FBC doing a </w:t>
      </w:r>
      <w:r w:rsidR="00D12651" w:rsidRPr="00D12651">
        <w:rPr>
          <w:rFonts w:ascii="Calibri" w:eastAsia="Calibri" w:hAnsi="Calibri" w:cs="Times New Roman"/>
        </w:rPr>
        <w:t>multi-</w:t>
      </w:r>
      <w:r>
        <w:rPr>
          <w:rFonts w:ascii="Calibri" w:eastAsia="Calibri" w:hAnsi="Calibri" w:cs="Times New Roman"/>
        </w:rPr>
        <w:t xml:space="preserve">fuel CPR analysis </w:t>
      </w:r>
      <w:r w:rsidR="00D12651" w:rsidRPr="00D12651">
        <w:rPr>
          <w:rFonts w:ascii="Calibri" w:eastAsia="Calibri" w:hAnsi="Calibri" w:cs="Times New Roman"/>
        </w:rPr>
        <w:t>joint</w:t>
      </w:r>
      <w:r>
        <w:rPr>
          <w:rFonts w:ascii="Calibri" w:eastAsia="Calibri" w:hAnsi="Calibri" w:cs="Times New Roman"/>
        </w:rPr>
        <w:t xml:space="preserve">ly with the FortisBC gas utility </w:t>
      </w:r>
      <w:r w:rsidR="00D12651" w:rsidRPr="00D12651">
        <w:rPr>
          <w:rFonts w:ascii="Calibri" w:eastAsia="Calibri" w:hAnsi="Calibri" w:cs="Times New Roman"/>
        </w:rPr>
        <w:t>and BC</w:t>
      </w:r>
      <w:r>
        <w:rPr>
          <w:rFonts w:ascii="Calibri" w:eastAsia="Calibri" w:hAnsi="Calibri" w:cs="Times New Roman"/>
        </w:rPr>
        <w:t xml:space="preserve"> </w:t>
      </w:r>
      <w:r w:rsidR="00D12651" w:rsidRPr="00D12651">
        <w:rPr>
          <w:rFonts w:ascii="Calibri" w:eastAsia="Calibri" w:hAnsi="Calibri" w:cs="Times New Roman"/>
        </w:rPr>
        <w:t>H</w:t>
      </w:r>
      <w:r>
        <w:rPr>
          <w:rFonts w:ascii="Calibri" w:eastAsia="Calibri" w:hAnsi="Calibri" w:cs="Times New Roman"/>
        </w:rPr>
        <w:t>ydro?</w:t>
      </w:r>
    </w:p>
    <w:p w14:paraId="40579C0C" w14:textId="029E904B" w:rsidR="00FA4DEA" w:rsidRDefault="00BD0CDC" w:rsidP="00FA4DEA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No, because FBC is doing a CPR update this time rather than a full-blown provincial CPR </w:t>
      </w:r>
    </w:p>
    <w:p w14:paraId="18124B37" w14:textId="77777777" w:rsidR="00FA4DEA" w:rsidRDefault="00FA4DEA" w:rsidP="00FA4DEA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002834FD" w14:textId="73299651" w:rsidR="00C96396" w:rsidRPr="00FA4DEA" w:rsidRDefault="00FA4DEA" w:rsidP="00FA4DEA">
      <w:pPr>
        <w:spacing w:after="160" w:line="256" w:lineRule="auto"/>
        <w:contextualSpacing/>
        <w:rPr>
          <w:rFonts w:ascii="Calibri" w:eastAsia="Calibri" w:hAnsi="Calibri" w:cs="Times New Roman"/>
        </w:rPr>
      </w:pPr>
      <w:r w:rsidRPr="00FA4DEA">
        <w:rPr>
          <w:rFonts w:ascii="Calibri" w:eastAsia="Calibri" w:hAnsi="Calibri" w:cs="Times New Roman"/>
        </w:rPr>
        <w:t>Q. How costly is upgrading the distribution system to meet growing peak demand?</w:t>
      </w:r>
    </w:p>
    <w:p w14:paraId="6BF891A7" w14:textId="77777777" w:rsidR="00C96396" w:rsidRDefault="00C96396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C96396">
        <w:rPr>
          <w:rFonts w:ascii="Calibri" w:eastAsia="Calibri" w:hAnsi="Calibri" w:cs="Times New Roman"/>
        </w:rPr>
        <w:t>A transformer addition to a substation is a few million dollars</w:t>
      </w:r>
    </w:p>
    <w:p w14:paraId="10DEF354" w14:textId="726E913A" w:rsidR="00D12651" w:rsidRPr="00C96396" w:rsidRDefault="00C96396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</w:t>
      </w:r>
      <w:r w:rsidRPr="00C96396">
        <w:rPr>
          <w:rFonts w:ascii="Calibri" w:eastAsia="Calibri" w:hAnsi="Calibri" w:cs="Times New Roman"/>
        </w:rPr>
        <w:t xml:space="preserve"> will look at the peak balance at the system level to approximate the larger-scale impacts</w:t>
      </w:r>
    </w:p>
    <w:p w14:paraId="5429A260" w14:textId="727CF87E" w:rsidR="00D12651" w:rsidRPr="00D12651" w:rsidRDefault="00BD0CDC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</w:t>
      </w:r>
      <w:r w:rsidR="00C229E0">
        <w:rPr>
          <w:rFonts w:ascii="Calibri" w:eastAsia="Calibri" w:hAnsi="Calibri" w:cs="Times New Roman"/>
        </w:rPr>
        <w:t>:  Does FBC engage with</w:t>
      </w:r>
      <w:r>
        <w:rPr>
          <w:rFonts w:ascii="Calibri" w:eastAsia="Calibri" w:hAnsi="Calibri" w:cs="Times New Roman"/>
        </w:rPr>
        <w:t xml:space="preserve"> the M</w:t>
      </w:r>
      <w:r w:rsidR="00D12651" w:rsidRPr="00D12651">
        <w:rPr>
          <w:rFonts w:ascii="Calibri" w:eastAsia="Calibri" w:hAnsi="Calibri" w:cs="Times New Roman"/>
        </w:rPr>
        <w:t xml:space="preserve">inistry </w:t>
      </w:r>
      <w:r w:rsidR="00C229E0">
        <w:rPr>
          <w:rFonts w:ascii="Calibri" w:eastAsia="Calibri" w:hAnsi="Calibri" w:cs="Times New Roman"/>
        </w:rPr>
        <w:t>on</w:t>
      </w:r>
      <w:r w:rsidR="00D12651" w:rsidRPr="00D12651">
        <w:rPr>
          <w:rFonts w:ascii="Calibri" w:eastAsia="Calibri" w:hAnsi="Calibri" w:cs="Times New Roman"/>
        </w:rPr>
        <w:t xml:space="preserve"> DSM regulations in any way</w:t>
      </w:r>
      <w:r>
        <w:rPr>
          <w:rFonts w:ascii="Calibri" w:eastAsia="Calibri" w:hAnsi="Calibri" w:cs="Times New Roman"/>
        </w:rPr>
        <w:t>?</w:t>
      </w:r>
      <w:r w:rsidR="00D12651" w:rsidRPr="00D12651">
        <w:rPr>
          <w:rFonts w:ascii="Calibri" w:eastAsia="Calibri" w:hAnsi="Calibri" w:cs="Times New Roman"/>
        </w:rPr>
        <w:t xml:space="preserve"> </w:t>
      </w:r>
    </w:p>
    <w:p w14:paraId="5C4713F1" w14:textId="30186D06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FBC </w:t>
      </w:r>
      <w:r w:rsidR="00BD0CDC">
        <w:rPr>
          <w:rFonts w:ascii="Calibri" w:eastAsia="Calibri" w:hAnsi="Calibri" w:cs="Times New Roman"/>
        </w:rPr>
        <w:t>has no plans to do this</w:t>
      </w:r>
      <w:r w:rsidRPr="00D12651">
        <w:rPr>
          <w:rFonts w:ascii="Calibri" w:eastAsia="Calibri" w:hAnsi="Calibri" w:cs="Times New Roman"/>
        </w:rPr>
        <w:t xml:space="preserve">  </w:t>
      </w:r>
    </w:p>
    <w:p w14:paraId="5AC62F9A" w14:textId="72E19D1F" w:rsid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5455A22D" w14:textId="2D524A9B" w:rsidR="00767D20" w:rsidRPr="00D12651" w:rsidRDefault="00767D20" w:rsidP="00D12651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767D20">
        <w:rPr>
          <w:rFonts w:ascii="Calibri" w:eastAsia="Calibri" w:hAnsi="Calibri" w:cs="Times New Roman"/>
          <w:b/>
          <w:sz w:val="24"/>
          <w:szCs w:val="24"/>
        </w:rPr>
        <w:t>FBC Resources and Power Markets</w:t>
      </w:r>
    </w:p>
    <w:p w14:paraId="001D0DAD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Q: Should FBC continue to look at the market as a resource? </w:t>
      </w:r>
    </w:p>
    <w:p w14:paraId="3E147637" w14:textId="77777777" w:rsidR="00BD0CDC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lastRenderedPageBreak/>
        <w:t xml:space="preserve">FBC </w:t>
      </w:r>
      <w:r w:rsidR="00BD0CDC">
        <w:rPr>
          <w:rFonts w:ascii="Calibri" w:eastAsia="Calibri" w:hAnsi="Calibri" w:cs="Times New Roman"/>
        </w:rPr>
        <w:t>will assess this in the LTERP</w:t>
      </w:r>
    </w:p>
    <w:p w14:paraId="7074B4E2" w14:textId="7C4072FF" w:rsidR="00D12651" w:rsidRDefault="00BD0CD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expects that access to market energy will be ok but capacity could</w:t>
      </w:r>
      <w:r w:rsidR="00D12651" w:rsidRPr="00D12651">
        <w:rPr>
          <w:rFonts w:ascii="Calibri" w:eastAsia="Calibri" w:hAnsi="Calibri" w:cs="Times New Roman"/>
        </w:rPr>
        <w:t xml:space="preserve"> still </w:t>
      </w:r>
      <w:r>
        <w:rPr>
          <w:rFonts w:ascii="Calibri" w:eastAsia="Calibri" w:hAnsi="Calibri" w:cs="Times New Roman"/>
        </w:rPr>
        <w:t xml:space="preserve">be </w:t>
      </w:r>
      <w:r w:rsidR="00D12651" w:rsidRPr="00D12651">
        <w:rPr>
          <w:rFonts w:ascii="Calibri" w:eastAsia="Calibri" w:hAnsi="Calibri" w:cs="Times New Roman"/>
        </w:rPr>
        <w:t>risky</w:t>
      </w:r>
    </w:p>
    <w:p w14:paraId="4F88911A" w14:textId="77777777" w:rsidR="00BD0CDC" w:rsidRPr="00D12651" w:rsidRDefault="00BD0CDC" w:rsidP="00BD0CDC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484C38DD" w14:textId="09B08E7F" w:rsidR="00D12651" w:rsidRPr="00D12651" w:rsidRDefault="00767D20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Q: Does FBC rely on the market?</w:t>
      </w:r>
    </w:p>
    <w:p w14:paraId="66EE9777" w14:textId="5B1E6DFB" w:rsidR="00767D20" w:rsidRDefault="00767D20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is</w:t>
      </w:r>
      <w:r w:rsidR="00D12651" w:rsidRPr="00D12651">
        <w:rPr>
          <w:rFonts w:ascii="Calibri" w:eastAsia="Calibri" w:hAnsi="Calibri" w:cs="Times New Roman"/>
        </w:rPr>
        <w:t xml:space="preserve"> not currently</w:t>
      </w:r>
      <w:r w:rsidR="00F37CDB">
        <w:rPr>
          <w:rFonts w:ascii="Calibri" w:eastAsia="Calibri" w:hAnsi="Calibri" w:cs="Times New Roman"/>
        </w:rPr>
        <w:t xml:space="preserve"> reliant on the market </w:t>
      </w:r>
      <w:r w:rsidR="00C03114">
        <w:rPr>
          <w:rFonts w:ascii="Calibri" w:eastAsia="Calibri" w:hAnsi="Calibri" w:cs="Times New Roman"/>
        </w:rPr>
        <w:t xml:space="preserve">to meet peak load </w:t>
      </w:r>
      <w:r w:rsidR="00F37CDB">
        <w:rPr>
          <w:rFonts w:ascii="Calibri" w:eastAsia="Calibri" w:hAnsi="Calibri" w:cs="Times New Roman"/>
        </w:rPr>
        <w:t>as we</w:t>
      </w:r>
      <w:r>
        <w:rPr>
          <w:rFonts w:ascii="Calibri" w:eastAsia="Calibri" w:hAnsi="Calibri" w:cs="Times New Roman"/>
        </w:rPr>
        <w:t xml:space="preserve"> </w:t>
      </w:r>
      <w:r w:rsidR="00C03114">
        <w:rPr>
          <w:rFonts w:ascii="Calibri" w:eastAsia="Calibri" w:hAnsi="Calibri" w:cs="Times New Roman"/>
        </w:rPr>
        <w:t xml:space="preserve">can </w:t>
      </w:r>
      <w:r>
        <w:rPr>
          <w:rFonts w:ascii="Calibri" w:eastAsia="Calibri" w:hAnsi="Calibri" w:cs="Times New Roman"/>
        </w:rPr>
        <w:t xml:space="preserve">use PPA for coverage </w:t>
      </w:r>
    </w:p>
    <w:p w14:paraId="2F2E4C61" w14:textId="0D885A3F" w:rsidR="00D12651" w:rsidRDefault="00767D20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optimizes the PPA and</w:t>
      </w:r>
      <w:r w:rsidR="00D12651" w:rsidRPr="00D12651">
        <w:rPr>
          <w:rFonts w:ascii="Calibri" w:eastAsia="Calibri" w:hAnsi="Calibri" w:cs="Times New Roman"/>
        </w:rPr>
        <w:t xml:space="preserve"> market </w:t>
      </w:r>
      <w:r>
        <w:rPr>
          <w:rFonts w:ascii="Calibri" w:eastAsia="Calibri" w:hAnsi="Calibri" w:cs="Times New Roman"/>
        </w:rPr>
        <w:t>purchases to provide</w:t>
      </w:r>
      <w:r w:rsidR="00D12651" w:rsidRPr="00D12651">
        <w:rPr>
          <w:rFonts w:ascii="Calibri" w:eastAsia="Calibri" w:hAnsi="Calibri" w:cs="Times New Roman"/>
        </w:rPr>
        <w:t xml:space="preserve"> savings to the ratepayer</w:t>
      </w:r>
    </w:p>
    <w:p w14:paraId="1C1F0EBA" w14:textId="77777777" w:rsidR="00F37CDB" w:rsidRDefault="00F37CDB" w:rsidP="00F37C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214A6207" w14:textId="161EF865" w:rsidR="00F37CDB" w:rsidRPr="00F37CDB" w:rsidRDefault="00F37CDB" w:rsidP="00F37CDB">
      <w:pPr>
        <w:spacing w:after="160" w:line="256" w:lineRule="auto"/>
        <w:contextualSpacing/>
        <w:rPr>
          <w:rFonts w:ascii="Calibri" w:eastAsia="Calibri" w:hAnsi="Calibri" w:cs="Times New Roman"/>
        </w:rPr>
      </w:pPr>
      <w:r w:rsidRPr="00F37CDB">
        <w:rPr>
          <w:rFonts w:ascii="Calibri" w:eastAsia="Calibri" w:hAnsi="Calibri" w:cs="Times New Roman"/>
        </w:rPr>
        <w:t xml:space="preserve">Q: </w:t>
      </w:r>
      <w:r>
        <w:rPr>
          <w:rFonts w:ascii="Calibri" w:eastAsia="Calibri" w:hAnsi="Calibri" w:cs="Times New Roman"/>
        </w:rPr>
        <w:t>Will FBC consider self-sufficiency again</w:t>
      </w:r>
      <w:r w:rsidRPr="00F37CDB">
        <w:rPr>
          <w:rFonts w:ascii="Calibri" w:eastAsia="Calibri" w:hAnsi="Calibri" w:cs="Times New Roman"/>
        </w:rPr>
        <w:t>?</w:t>
      </w:r>
    </w:p>
    <w:p w14:paraId="76227036" w14:textId="7163864F" w:rsidR="00F37CDB" w:rsidRPr="00F37CDB" w:rsidRDefault="00F37CDB" w:rsidP="00F37CDB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will assess this in next LTERP given BCUC 2016 decision</w:t>
      </w:r>
    </w:p>
    <w:p w14:paraId="02FF2899" w14:textId="77777777" w:rsidR="00B27D25" w:rsidRDefault="00B27D25" w:rsidP="00B27D25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026870E" w14:textId="05171C64" w:rsidR="00B27D25" w:rsidRDefault="00B27D25" w:rsidP="00B27D25">
      <w:p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Q. Are the summer and winter peaks getting closer? What is the air conditioning penetration?</w:t>
      </w:r>
    </w:p>
    <w:p w14:paraId="21DBAD6C" w14:textId="7B64B557" w:rsidR="00B27D25" w:rsidRDefault="00B27D25" w:rsidP="00B27D25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A/C penetration is about 85%</w:t>
      </w:r>
    </w:p>
    <w:p w14:paraId="618DB1EE" w14:textId="47AD428C" w:rsidR="00B27D25" w:rsidRDefault="00B27D25" w:rsidP="00B27D25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will explore weather impacts in the load scenarios</w:t>
      </w:r>
    </w:p>
    <w:p w14:paraId="5CDEE03C" w14:textId="1614950B" w:rsidR="00B27D25" w:rsidRDefault="00B27D25" w:rsidP="00B27D25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Q. Can FBC resell WAX capacity?</w:t>
      </w:r>
    </w:p>
    <w:p w14:paraId="2EA68E8E" w14:textId="368A3F5A" w:rsidR="00B27D25" w:rsidRPr="00C03114" w:rsidRDefault="00B27D25" w:rsidP="00C03114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have an agreement to sell some back to BC Hydro and we can sell any excess to the market</w:t>
      </w:r>
    </w:p>
    <w:p w14:paraId="3FDFC8A6" w14:textId="77777777" w:rsidR="00767D20" w:rsidRPr="00D12651" w:rsidRDefault="00767D20" w:rsidP="00767D20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1E34F3C4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Are FBC market purchases clean energy?</w:t>
      </w:r>
    </w:p>
    <w:p w14:paraId="5B756CDA" w14:textId="576AB15A" w:rsidR="00F37CDB" w:rsidRDefault="00F37CDB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Some are and some are not clean</w:t>
      </w:r>
    </w:p>
    <w:p w14:paraId="1E0E6150" w14:textId="715B6D1A" w:rsidR="00767D20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We get the same market mix as BC</w:t>
      </w:r>
      <w:r w:rsidR="00767D20">
        <w:rPr>
          <w:rFonts w:ascii="Calibri" w:eastAsia="Calibri" w:hAnsi="Calibri" w:cs="Times New Roman"/>
        </w:rPr>
        <w:t xml:space="preserve"> </w:t>
      </w:r>
      <w:r w:rsidRPr="00D12651">
        <w:rPr>
          <w:rFonts w:ascii="Calibri" w:eastAsia="Calibri" w:hAnsi="Calibri" w:cs="Times New Roman"/>
        </w:rPr>
        <w:t>H</w:t>
      </w:r>
      <w:r w:rsidR="00767D20">
        <w:rPr>
          <w:rFonts w:ascii="Calibri" w:eastAsia="Calibri" w:hAnsi="Calibri" w:cs="Times New Roman"/>
        </w:rPr>
        <w:t>ydro under the purchase and sale agreement with Powerex</w:t>
      </w:r>
    </w:p>
    <w:p w14:paraId="70786777" w14:textId="1268244C" w:rsid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FBC assum</w:t>
      </w:r>
      <w:r w:rsidR="00767D20">
        <w:rPr>
          <w:rFonts w:ascii="Calibri" w:eastAsia="Calibri" w:hAnsi="Calibri" w:cs="Times New Roman"/>
        </w:rPr>
        <w:t>es the Washington state average resource mix for its market purchases</w:t>
      </w:r>
    </w:p>
    <w:p w14:paraId="40453234" w14:textId="53B5AB04" w:rsidR="00E46BA7" w:rsidRDefault="00E46BA7" w:rsidP="00E46BA7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E46BA7">
        <w:rPr>
          <w:rFonts w:ascii="Calibri" w:eastAsia="Calibri" w:hAnsi="Calibri" w:cs="Times New Roman"/>
        </w:rPr>
        <w:t>FBC could buy green credits for this specific purpose - the California market is offering specified products now that have to declare their origin</w:t>
      </w:r>
    </w:p>
    <w:p w14:paraId="7B6EA625" w14:textId="5600299F" w:rsidR="00F37CDB" w:rsidRPr="00D12651" w:rsidRDefault="00F37CDB" w:rsidP="00E46BA7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is exploring options with Powerex</w:t>
      </w:r>
    </w:p>
    <w:p w14:paraId="56262216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</w:p>
    <w:p w14:paraId="0FF68887" w14:textId="7384E441" w:rsidR="00D12651" w:rsidRPr="00D12651" w:rsidRDefault="00767D20" w:rsidP="00D12651">
      <w:pPr>
        <w:spacing w:after="16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767D20">
        <w:rPr>
          <w:rFonts w:ascii="Calibri" w:eastAsia="Calibri" w:hAnsi="Calibri" w:cs="Times New Roman"/>
          <w:b/>
          <w:sz w:val="24"/>
          <w:szCs w:val="24"/>
        </w:rPr>
        <w:t>Load-Resource Balance, Resource Options and Portfolio Analysis</w:t>
      </w:r>
    </w:p>
    <w:p w14:paraId="7FE0510C" w14:textId="1FAC7BF2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How much can FBC rely on 71L; what is the capacity of 71L</w:t>
      </w:r>
      <w:r w:rsidR="00FE3B9C">
        <w:rPr>
          <w:rFonts w:ascii="Calibri" w:eastAsia="Calibri" w:hAnsi="Calibri" w:cs="Times New Roman"/>
        </w:rPr>
        <w:t>?</w:t>
      </w:r>
    </w:p>
    <w:p w14:paraId="5B92276D" w14:textId="174FE52E" w:rsidR="00D12651" w:rsidRPr="00D12651" w:rsidRDefault="00FE3B9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FBC has access to </w:t>
      </w:r>
      <w:r w:rsidR="00D12651" w:rsidRPr="00D12651">
        <w:rPr>
          <w:rFonts w:ascii="Calibri" w:eastAsia="Calibri" w:hAnsi="Calibri" w:cs="Times New Roman"/>
        </w:rPr>
        <w:t>370</w:t>
      </w:r>
      <w:r>
        <w:rPr>
          <w:rFonts w:ascii="Calibri" w:eastAsia="Calibri" w:hAnsi="Calibri" w:cs="Times New Roman"/>
        </w:rPr>
        <w:t xml:space="preserve"> </w:t>
      </w:r>
      <w:r w:rsidR="00D12651" w:rsidRPr="00D12651">
        <w:rPr>
          <w:rFonts w:ascii="Calibri" w:eastAsia="Calibri" w:hAnsi="Calibri" w:cs="Times New Roman"/>
        </w:rPr>
        <w:t xml:space="preserve">MW </w:t>
      </w:r>
      <w:r>
        <w:rPr>
          <w:rFonts w:ascii="Calibri" w:eastAsia="Calibri" w:hAnsi="Calibri" w:cs="Times New Roman"/>
        </w:rPr>
        <w:t xml:space="preserve">capacity </w:t>
      </w:r>
      <w:r w:rsidR="00D12651" w:rsidRPr="00D12651">
        <w:rPr>
          <w:rFonts w:ascii="Calibri" w:eastAsia="Calibri" w:hAnsi="Calibri" w:cs="Times New Roman"/>
        </w:rPr>
        <w:t>fo</w:t>
      </w:r>
      <w:r>
        <w:rPr>
          <w:rFonts w:ascii="Calibri" w:eastAsia="Calibri" w:hAnsi="Calibri" w:cs="Times New Roman"/>
        </w:rPr>
        <w:t>r both import and export.   Teck</w:t>
      </w:r>
      <w:r w:rsidR="00D12651" w:rsidRPr="00D12651">
        <w:rPr>
          <w:rFonts w:ascii="Calibri" w:eastAsia="Calibri" w:hAnsi="Calibri" w:cs="Times New Roman"/>
        </w:rPr>
        <w:t xml:space="preserve"> has first rights to the line, therefore FBC effectively has 150</w:t>
      </w:r>
      <w:r>
        <w:rPr>
          <w:rFonts w:ascii="Calibri" w:eastAsia="Calibri" w:hAnsi="Calibri" w:cs="Times New Roman"/>
        </w:rPr>
        <w:t xml:space="preserve"> </w:t>
      </w:r>
      <w:r w:rsidR="00D12651" w:rsidRPr="00D12651">
        <w:rPr>
          <w:rFonts w:ascii="Calibri" w:eastAsia="Calibri" w:hAnsi="Calibri" w:cs="Times New Roman"/>
        </w:rPr>
        <w:t>MW it can rely on</w:t>
      </w:r>
      <w:r>
        <w:rPr>
          <w:rFonts w:ascii="Calibri" w:eastAsia="Calibri" w:hAnsi="Calibri" w:cs="Times New Roman"/>
        </w:rPr>
        <w:t xml:space="preserve"> for planning purposes</w:t>
      </w:r>
    </w:p>
    <w:p w14:paraId="10FF7A5C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FBC cautioned that if planning to use 71L to meet load, then it is not available as a contingency resource in the case of an outage</w:t>
      </w:r>
    </w:p>
    <w:p w14:paraId="3405D544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ED3743B" w14:textId="3EF1738D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Q: Does FBC have any ideas of what battery techn</w:t>
      </w:r>
      <w:r w:rsidR="000476C2">
        <w:rPr>
          <w:rFonts w:ascii="Calibri" w:eastAsia="Calibri" w:hAnsi="Calibri" w:cs="Times New Roman"/>
        </w:rPr>
        <w:t>ology it</w:t>
      </w:r>
      <w:r w:rsidRPr="00D12651">
        <w:rPr>
          <w:rFonts w:ascii="Calibri" w:eastAsia="Calibri" w:hAnsi="Calibri" w:cs="Times New Roman"/>
        </w:rPr>
        <w:t xml:space="preserve"> will be looking at</w:t>
      </w:r>
      <w:r w:rsidR="000476C2">
        <w:rPr>
          <w:rFonts w:ascii="Calibri" w:eastAsia="Calibri" w:hAnsi="Calibri" w:cs="Times New Roman"/>
        </w:rPr>
        <w:t>?</w:t>
      </w:r>
    </w:p>
    <w:p w14:paraId="62573BD3" w14:textId="77777777" w:rsidR="00FE3B9C" w:rsidRDefault="00FE3B9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will be c</w:t>
      </w:r>
      <w:r w:rsidR="00D12651" w:rsidRPr="00D12651">
        <w:rPr>
          <w:rFonts w:ascii="Calibri" w:eastAsia="Calibri" w:hAnsi="Calibri" w:cs="Times New Roman"/>
        </w:rPr>
        <w:t>ollaborating with BC</w:t>
      </w:r>
      <w:r>
        <w:rPr>
          <w:rFonts w:ascii="Calibri" w:eastAsia="Calibri" w:hAnsi="Calibri" w:cs="Times New Roman"/>
        </w:rPr>
        <w:t xml:space="preserve"> </w:t>
      </w:r>
      <w:r w:rsidR="00D12651" w:rsidRPr="00D12651">
        <w:rPr>
          <w:rFonts w:ascii="Calibri" w:eastAsia="Calibri" w:hAnsi="Calibri" w:cs="Times New Roman"/>
        </w:rPr>
        <w:t>H</w:t>
      </w:r>
      <w:r>
        <w:rPr>
          <w:rFonts w:ascii="Calibri" w:eastAsia="Calibri" w:hAnsi="Calibri" w:cs="Times New Roman"/>
        </w:rPr>
        <w:t>ydro on resource options including batteries</w:t>
      </w:r>
    </w:p>
    <w:p w14:paraId="711EF62A" w14:textId="089CE502" w:rsidR="00D12651" w:rsidRPr="00D12651" w:rsidRDefault="00FE3B9C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expects BC Hydro will consider lithium-ion and</w:t>
      </w:r>
      <w:r w:rsidR="00D12651" w:rsidRPr="00D12651">
        <w:rPr>
          <w:rFonts w:ascii="Calibri" w:eastAsia="Calibri" w:hAnsi="Calibri" w:cs="Times New Roman"/>
        </w:rPr>
        <w:t xml:space="preserve"> flow batteries</w:t>
      </w:r>
    </w:p>
    <w:p w14:paraId="4BD69754" w14:textId="77777777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 </w:t>
      </w:r>
    </w:p>
    <w:p w14:paraId="01AB483A" w14:textId="23FFB0B4" w:rsidR="000476C2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 xml:space="preserve">omment: </w:t>
      </w:r>
    </w:p>
    <w:p w14:paraId="5AF87EDA" w14:textId="3B67DF83" w:rsidR="00D12651" w:rsidRPr="000476C2" w:rsidRDefault="00D1265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0476C2">
        <w:rPr>
          <w:rFonts w:ascii="Calibri" w:eastAsia="Calibri" w:hAnsi="Calibri" w:cs="Times New Roman"/>
        </w:rPr>
        <w:t>Companies are starting to package intermittent resources together as an aggregate product offering (i.e. wind + solar + battery), which increasing its firming properties</w:t>
      </w:r>
    </w:p>
    <w:p w14:paraId="0A2753BB" w14:textId="3CA3FB30" w:rsidR="00D12651" w:rsidRPr="00D12651" w:rsidRDefault="00D12651" w:rsidP="00D12651">
      <w:pPr>
        <w:spacing w:after="160" w:line="256" w:lineRule="auto"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lastRenderedPageBreak/>
        <w:t>Q: Does FBC have a p</w:t>
      </w:r>
      <w:r w:rsidR="00FC1191">
        <w:rPr>
          <w:rFonts w:ascii="Calibri" w:eastAsia="Calibri" w:hAnsi="Calibri" w:cs="Times New Roman"/>
        </w:rPr>
        <w:t>olicy around relationship with I</w:t>
      </w:r>
      <w:r w:rsidRPr="00D12651">
        <w:rPr>
          <w:rFonts w:ascii="Calibri" w:eastAsia="Calibri" w:hAnsi="Calibri" w:cs="Times New Roman"/>
        </w:rPr>
        <w:t>ndigenous people in terms of resource development?</w:t>
      </w:r>
    </w:p>
    <w:p w14:paraId="21C3F1F2" w14:textId="7DEAF2FE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 xml:space="preserve">FBC has not developed </w:t>
      </w:r>
      <w:r w:rsidR="000476C2">
        <w:rPr>
          <w:rFonts w:ascii="Calibri" w:eastAsia="Calibri" w:hAnsi="Calibri" w:cs="Times New Roman"/>
        </w:rPr>
        <w:t xml:space="preserve">such </w:t>
      </w:r>
      <w:r w:rsidRPr="00D12651">
        <w:rPr>
          <w:rFonts w:ascii="Calibri" w:eastAsia="Calibri" w:hAnsi="Calibri" w:cs="Times New Roman"/>
        </w:rPr>
        <w:t>a polic</w:t>
      </w:r>
      <w:r w:rsidR="00FC1191">
        <w:rPr>
          <w:rFonts w:ascii="Calibri" w:eastAsia="Calibri" w:hAnsi="Calibri" w:cs="Times New Roman"/>
        </w:rPr>
        <w:t>y explicitly relating to supply-</w:t>
      </w:r>
      <w:r w:rsidRPr="00D12651">
        <w:rPr>
          <w:rFonts w:ascii="Calibri" w:eastAsia="Calibri" w:hAnsi="Calibri" w:cs="Times New Roman"/>
        </w:rPr>
        <w:t>side resources</w:t>
      </w:r>
    </w:p>
    <w:p w14:paraId="75258F8D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6C9EF52C" w14:textId="66661A80" w:rsidR="00D12651" w:rsidRPr="00D12651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FC1191">
        <w:rPr>
          <w:rFonts w:ascii="Calibri" w:eastAsia="Calibri" w:hAnsi="Calibri" w:cs="Times New Roman"/>
        </w:rPr>
        <w:t>omments on portfolio analysis rating framework:</w:t>
      </w:r>
    </w:p>
    <w:p w14:paraId="56EC42F5" w14:textId="314A537C" w:rsidR="00A73300" w:rsidRPr="00A73300" w:rsidRDefault="00A73300" w:rsidP="00A73300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A73300">
        <w:rPr>
          <w:rFonts w:ascii="Calibri" w:eastAsia="Calibri" w:hAnsi="Calibri" w:cs="Times New Roman"/>
        </w:rPr>
        <w:t>Creating multiple socioeconomic metrics in addition to cost is useful in order to make an informed decision that is not only motivated by lowest cost</w:t>
      </w:r>
    </w:p>
    <w:p w14:paraId="40D1A046" w14:textId="5CFCC51D" w:rsidR="00A73300" w:rsidRPr="00A73300" w:rsidRDefault="00A73300" w:rsidP="00A73300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A73300">
        <w:rPr>
          <w:rFonts w:ascii="Calibri" w:eastAsia="Calibri" w:hAnsi="Calibri" w:cs="Times New Roman"/>
        </w:rPr>
        <w:t xml:space="preserve">The ultimate scenario selection should be a judgment call, rather than a pure calculation of points across weighted metrics - certain resource options can have effects across multiple metrics that would cause a dysfunctional portfolio when aggregated with </w:t>
      </w:r>
      <w:r w:rsidR="00FE50EF">
        <w:rPr>
          <w:rFonts w:ascii="Calibri" w:eastAsia="Calibri" w:hAnsi="Calibri" w:cs="Times New Roman"/>
        </w:rPr>
        <w:t>an</w:t>
      </w:r>
      <w:r w:rsidRPr="00A73300">
        <w:rPr>
          <w:rFonts w:ascii="Calibri" w:eastAsia="Calibri" w:hAnsi="Calibri" w:cs="Times New Roman"/>
        </w:rPr>
        <w:t>other resource, so good judgment is still critical (the metrics simply help create an informed consideration across portfolio options)</w:t>
      </w:r>
    </w:p>
    <w:p w14:paraId="5D0E0069" w14:textId="04BC76A4" w:rsidR="00A73300" w:rsidRDefault="00A73300" w:rsidP="00A73300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A73300">
        <w:rPr>
          <w:rFonts w:ascii="Calibri" w:eastAsia="Calibri" w:hAnsi="Calibri" w:cs="Times New Roman"/>
        </w:rPr>
        <w:t>BC Hydro found evaluating socioeconomic metric difficult even for very lumpy resource decisions like Site C - e.g. how do you compare the centralized footprint of a dam to a similar but decentralized footprint of independent power producers?</w:t>
      </w:r>
    </w:p>
    <w:p w14:paraId="4CA55EA5" w14:textId="3823BBEF" w:rsidR="00FC1191" w:rsidRDefault="00FC119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The</w:t>
      </w:r>
      <w:r>
        <w:rPr>
          <w:rFonts w:ascii="Calibri" w:eastAsia="Calibri" w:hAnsi="Calibri" w:cs="Times New Roman"/>
        </w:rPr>
        <w:t>re was a suggestion to include Indigenous collaboration</w:t>
      </w:r>
      <w:r w:rsidR="00A73300">
        <w:rPr>
          <w:rFonts w:ascii="Calibri" w:eastAsia="Calibri" w:hAnsi="Calibri" w:cs="Times New Roman"/>
        </w:rPr>
        <w:t>/opportunities</w:t>
      </w:r>
      <w:r w:rsidRPr="00D12651">
        <w:rPr>
          <w:rFonts w:ascii="Calibri" w:eastAsia="Calibri" w:hAnsi="Calibri" w:cs="Times New Roman"/>
        </w:rPr>
        <w:t xml:space="preserve"> as a portfolio attribute in the </w:t>
      </w:r>
      <w:r>
        <w:rPr>
          <w:rFonts w:ascii="Calibri" w:eastAsia="Calibri" w:hAnsi="Calibri" w:cs="Times New Roman"/>
        </w:rPr>
        <w:t xml:space="preserve">portfolio </w:t>
      </w:r>
      <w:r w:rsidRPr="00D12651">
        <w:rPr>
          <w:rFonts w:ascii="Calibri" w:eastAsia="Calibri" w:hAnsi="Calibri" w:cs="Times New Roman"/>
        </w:rPr>
        <w:t>rating framework</w:t>
      </w:r>
    </w:p>
    <w:p w14:paraId="449D645C" w14:textId="588DA2A4" w:rsidR="00D12651" w:rsidRPr="00D12651" w:rsidRDefault="00FC119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FBC should </w:t>
      </w:r>
      <w:r w:rsidR="00D12651" w:rsidRPr="00D12651">
        <w:rPr>
          <w:rFonts w:ascii="Calibri" w:eastAsia="Calibri" w:hAnsi="Calibri" w:cs="Times New Roman"/>
        </w:rPr>
        <w:t xml:space="preserve">avoid looking at single </w:t>
      </w:r>
      <w:r>
        <w:rPr>
          <w:rFonts w:ascii="Calibri" w:eastAsia="Calibri" w:hAnsi="Calibri" w:cs="Times New Roman"/>
        </w:rPr>
        <w:t xml:space="preserve">portfolio </w:t>
      </w:r>
      <w:r w:rsidR="00D12651" w:rsidRPr="00D12651">
        <w:rPr>
          <w:rFonts w:ascii="Calibri" w:eastAsia="Calibri" w:hAnsi="Calibri" w:cs="Times New Roman"/>
        </w:rPr>
        <w:t xml:space="preserve">attributes in isolation; need to look at </w:t>
      </w:r>
      <w:r>
        <w:rPr>
          <w:rFonts w:ascii="Calibri" w:eastAsia="Calibri" w:hAnsi="Calibri" w:cs="Times New Roman"/>
        </w:rPr>
        <w:t xml:space="preserve">the </w:t>
      </w:r>
      <w:r w:rsidR="00D12651" w:rsidRPr="00D12651">
        <w:rPr>
          <w:rFonts w:ascii="Calibri" w:eastAsia="Calibri" w:hAnsi="Calibri" w:cs="Times New Roman"/>
        </w:rPr>
        <w:t>collective impacts</w:t>
      </w:r>
    </w:p>
    <w:p w14:paraId="651FF696" w14:textId="77777777" w:rsidR="00D12651" w:rsidRPr="00D12651" w:rsidRDefault="00D12651" w:rsidP="00C96396">
      <w:pPr>
        <w:numPr>
          <w:ilvl w:val="1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e.g. self-sufficiency averaged over 10 years, rather than individual years</w:t>
      </w:r>
    </w:p>
    <w:p w14:paraId="43F0A81D" w14:textId="4F1FA9F6" w:rsidR="00D12651" w:rsidRDefault="00FC119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are s</w:t>
      </w:r>
      <w:r w:rsidR="00D12651" w:rsidRPr="00D12651">
        <w:rPr>
          <w:rFonts w:ascii="Calibri" w:eastAsia="Calibri" w:hAnsi="Calibri" w:cs="Times New Roman"/>
        </w:rPr>
        <w:t>everal items on the attribute list aim</w:t>
      </w:r>
      <w:r>
        <w:rPr>
          <w:rFonts w:ascii="Calibri" w:eastAsia="Calibri" w:hAnsi="Calibri" w:cs="Times New Roman"/>
        </w:rPr>
        <w:t>ed</w:t>
      </w:r>
      <w:r w:rsidR="00D12651" w:rsidRPr="00D12651">
        <w:rPr>
          <w:rFonts w:ascii="Calibri" w:eastAsia="Calibri" w:hAnsi="Calibri" w:cs="Times New Roman"/>
        </w:rPr>
        <w:t xml:space="preserve"> towards climate action, which should be looked at collectively rather than individual attributes</w:t>
      </w:r>
    </w:p>
    <w:p w14:paraId="0CC81385" w14:textId="2D5AF2B9" w:rsidR="00A73300" w:rsidRDefault="00A73300" w:rsidP="00A73300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A73300">
        <w:rPr>
          <w:rFonts w:ascii="Calibri" w:eastAsia="Calibri" w:hAnsi="Calibri" w:cs="Times New Roman"/>
        </w:rPr>
        <w:t>Make sure to include lead times into your analysis - e.g. if large load sectors take 5 years to transform and serving them with resources takes 8 years, we know that we have time pressure for responding to these drivers</w:t>
      </w:r>
    </w:p>
    <w:p w14:paraId="683EA380" w14:textId="77777777" w:rsidR="00FC1191" w:rsidRPr="00D12651" w:rsidRDefault="00FC119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</w:p>
    <w:p w14:paraId="14D2F512" w14:textId="5225690B" w:rsidR="000476C2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 xml:space="preserve">omment:  </w:t>
      </w:r>
    </w:p>
    <w:p w14:paraId="397B7CD2" w14:textId="77777777" w:rsidR="000476C2" w:rsidRDefault="00D1265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0476C2">
        <w:rPr>
          <w:rFonts w:ascii="Calibri" w:eastAsia="Calibri" w:hAnsi="Calibri" w:cs="Times New Roman"/>
        </w:rPr>
        <w:t xml:space="preserve">As other utilities become more reliant on the market, there is risk to </w:t>
      </w:r>
      <w:r w:rsidR="000476C2">
        <w:rPr>
          <w:rFonts w:ascii="Calibri" w:eastAsia="Calibri" w:hAnsi="Calibri" w:cs="Times New Roman"/>
        </w:rPr>
        <w:t>the market in terms of supply</w:t>
      </w:r>
    </w:p>
    <w:p w14:paraId="026E2D44" w14:textId="66FAAAE8" w:rsidR="00D12651" w:rsidRPr="000476C2" w:rsidRDefault="00D12651" w:rsidP="00C96396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0476C2">
        <w:rPr>
          <w:rFonts w:ascii="Calibri" w:eastAsia="Calibri" w:hAnsi="Calibri" w:cs="Times New Roman"/>
        </w:rPr>
        <w:t>On the flip side, there might be more supply resources available with decreasing cost but increasing transmission constraints</w:t>
      </w:r>
      <w:r w:rsidR="00FC1191" w:rsidRPr="000476C2">
        <w:rPr>
          <w:rFonts w:ascii="Calibri" w:eastAsia="Calibri" w:hAnsi="Calibri" w:cs="Times New Roman"/>
        </w:rPr>
        <w:t>.</w:t>
      </w:r>
    </w:p>
    <w:p w14:paraId="2AF6DF63" w14:textId="01C65F54" w:rsidR="00D12651" w:rsidRPr="00D12651" w:rsidRDefault="009428F1" w:rsidP="00D12651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Stakeholder c</w:t>
      </w:r>
      <w:r w:rsidR="00D12651" w:rsidRPr="00D12651">
        <w:rPr>
          <w:rFonts w:ascii="Calibri" w:eastAsia="Calibri" w:hAnsi="Calibri" w:cs="Times New Roman"/>
        </w:rPr>
        <w:t>omment</w:t>
      </w:r>
      <w:r>
        <w:rPr>
          <w:rFonts w:ascii="Calibri" w:eastAsia="Calibri" w:hAnsi="Calibri" w:cs="Times New Roman"/>
        </w:rPr>
        <w:t>s</w:t>
      </w:r>
      <w:r w:rsidR="00D12651" w:rsidRPr="00D12651">
        <w:rPr>
          <w:rFonts w:ascii="Calibri" w:eastAsia="Calibri" w:hAnsi="Calibri" w:cs="Times New Roman"/>
        </w:rPr>
        <w:t xml:space="preserve">: </w:t>
      </w:r>
    </w:p>
    <w:p w14:paraId="7BE52B2D" w14:textId="17AFD10A" w:rsidR="00BC0057" w:rsidRDefault="00BC0057" w:rsidP="00BC0057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BC0057">
        <w:rPr>
          <w:rFonts w:ascii="Calibri" w:eastAsia="Calibri" w:hAnsi="Calibri" w:cs="Times New Roman"/>
        </w:rPr>
        <w:t xml:space="preserve">Even if the various utilities disagree on their </w:t>
      </w:r>
      <w:r>
        <w:rPr>
          <w:rFonts w:ascii="Calibri" w:eastAsia="Calibri" w:hAnsi="Calibri" w:cs="Times New Roman"/>
        </w:rPr>
        <w:t xml:space="preserve">scenario </w:t>
      </w:r>
      <w:r w:rsidRPr="00BC0057">
        <w:rPr>
          <w:rFonts w:ascii="Calibri" w:eastAsia="Calibri" w:hAnsi="Calibri" w:cs="Times New Roman"/>
        </w:rPr>
        <w:t>views of the future, they should endeavor to find a similar format and method for preparing and presenting their assumptions to facilitate public review and comparison of these</w:t>
      </w:r>
    </w:p>
    <w:p w14:paraId="5BE4A2FE" w14:textId="2AD2EFFE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It would be very helpful to develop a full set of common assumption</w:t>
      </w:r>
      <w:r w:rsidR="00BC0057">
        <w:rPr>
          <w:rFonts w:ascii="Calibri" w:eastAsia="Calibri" w:hAnsi="Calibri" w:cs="Times New Roman"/>
        </w:rPr>
        <w:t>s</w:t>
      </w:r>
      <w:r w:rsidRPr="00D12651">
        <w:rPr>
          <w:rFonts w:ascii="Calibri" w:eastAsia="Calibri" w:hAnsi="Calibri" w:cs="Times New Roman"/>
        </w:rPr>
        <w:t xml:space="preserve"> between BC</w:t>
      </w:r>
      <w:r w:rsidR="000476C2">
        <w:rPr>
          <w:rFonts w:ascii="Calibri" w:eastAsia="Calibri" w:hAnsi="Calibri" w:cs="Times New Roman"/>
        </w:rPr>
        <w:t xml:space="preserve"> </w:t>
      </w:r>
      <w:r w:rsidRPr="00D12651">
        <w:rPr>
          <w:rFonts w:ascii="Calibri" w:eastAsia="Calibri" w:hAnsi="Calibri" w:cs="Times New Roman"/>
        </w:rPr>
        <w:t>H</w:t>
      </w:r>
      <w:r w:rsidR="000476C2">
        <w:rPr>
          <w:rFonts w:ascii="Calibri" w:eastAsia="Calibri" w:hAnsi="Calibri" w:cs="Times New Roman"/>
        </w:rPr>
        <w:t>ydro</w:t>
      </w:r>
      <w:r w:rsidRPr="00D12651">
        <w:rPr>
          <w:rFonts w:ascii="Calibri" w:eastAsia="Calibri" w:hAnsi="Calibri" w:cs="Times New Roman"/>
        </w:rPr>
        <w:t xml:space="preserve"> and FBC around the future</w:t>
      </w:r>
      <w:r w:rsidR="000476C2">
        <w:rPr>
          <w:rFonts w:ascii="Calibri" w:eastAsia="Calibri" w:hAnsi="Calibri" w:cs="Times New Roman"/>
        </w:rPr>
        <w:t xml:space="preserve"> load scenarios</w:t>
      </w:r>
      <w:r w:rsidRPr="00D12651">
        <w:rPr>
          <w:rFonts w:ascii="Calibri" w:eastAsia="Calibri" w:hAnsi="Calibri" w:cs="Times New Roman"/>
        </w:rPr>
        <w:t xml:space="preserve"> </w:t>
      </w:r>
      <w:r w:rsidR="000476C2">
        <w:rPr>
          <w:rFonts w:ascii="Calibri" w:eastAsia="Calibri" w:hAnsi="Calibri" w:cs="Times New Roman"/>
        </w:rPr>
        <w:t>-</w:t>
      </w:r>
      <w:r w:rsidRPr="00D12651">
        <w:rPr>
          <w:rFonts w:ascii="Calibri" w:eastAsia="Calibri" w:hAnsi="Calibri" w:cs="Times New Roman"/>
        </w:rPr>
        <w:t xml:space="preserve"> i.e</w:t>
      </w:r>
      <w:r w:rsidR="000476C2">
        <w:rPr>
          <w:rFonts w:ascii="Calibri" w:eastAsia="Calibri" w:hAnsi="Calibri" w:cs="Times New Roman"/>
        </w:rPr>
        <w:t>. economic outlook, EV growth, l</w:t>
      </w:r>
      <w:r w:rsidRPr="00D12651">
        <w:rPr>
          <w:rFonts w:ascii="Calibri" w:eastAsia="Calibri" w:hAnsi="Calibri" w:cs="Times New Roman"/>
        </w:rPr>
        <w:t>ead times around the different resources, etc.</w:t>
      </w:r>
    </w:p>
    <w:p w14:paraId="6D4DD5CB" w14:textId="77777777" w:rsidR="00D12651" w:rsidRPr="00D12651" w:rsidRDefault="00D12651" w:rsidP="00D12651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E0FBFAF" w14:textId="77777777" w:rsidR="00D12651" w:rsidRPr="00D12651" w:rsidRDefault="00D12651" w:rsidP="00C9639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Some additional written materials included with the meeting request to facilitate meaningful conversation was requested</w:t>
      </w:r>
    </w:p>
    <w:p w14:paraId="6FA2011A" w14:textId="77777777" w:rsidR="000476C2" w:rsidRDefault="00D12651" w:rsidP="00C96396">
      <w:pPr>
        <w:numPr>
          <w:ilvl w:val="1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lastRenderedPageBreak/>
        <w:t xml:space="preserve">For example, what is included in the reference case forecast, and what is included in the load scenarios.  </w:t>
      </w:r>
    </w:p>
    <w:p w14:paraId="1D398EFE" w14:textId="2EFFA84B" w:rsidR="00D12651" w:rsidRDefault="00D12651" w:rsidP="00C96396">
      <w:pPr>
        <w:numPr>
          <w:ilvl w:val="1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12651">
        <w:rPr>
          <w:rFonts w:ascii="Calibri" w:eastAsia="Calibri" w:hAnsi="Calibri" w:cs="Times New Roman"/>
        </w:rPr>
        <w:t>If FBC sent this out in advance, the conversation would be around those items, rather than asking those questions in the workshop</w:t>
      </w:r>
    </w:p>
    <w:p w14:paraId="58E7B2A6" w14:textId="77777777" w:rsidR="000476C2" w:rsidRDefault="000476C2" w:rsidP="000476C2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20E806E3" w14:textId="4D29D546" w:rsidR="000476C2" w:rsidRPr="00D12651" w:rsidRDefault="000476C2" w:rsidP="000476C2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FBC attempts to send out the meeting materials in advance so stakeholders can review them before the workshops – however, this is not always possible.</w:t>
      </w:r>
    </w:p>
    <w:p w14:paraId="63A21A80" w14:textId="79F53157" w:rsidR="004424EC" w:rsidRPr="00D2758D" w:rsidRDefault="004424EC" w:rsidP="00D12651">
      <w:pPr>
        <w:pStyle w:val="ListParagraph"/>
        <w:spacing w:after="0" w:line="240" w:lineRule="auto"/>
        <w:ind w:left="360"/>
        <w:rPr>
          <w:lang w:val="en-CA"/>
        </w:rPr>
      </w:pPr>
    </w:p>
    <w:sectPr w:rsidR="004424EC" w:rsidRPr="00D2758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DAD9" w14:textId="77777777" w:rsidR="00305A26" w:rsidRDefault="00305A26" w:rsidP="00305A26">
      <w:pPr>
        <w:spacing w:after="0" w:line="240" w:lineRule="auto"/>
      </w:pPr>
      <w:r>
        <w:separator/>
      </w:r>
    </w:p>
  </w:endnote>
  <w:endnote w:type="continuationSeparator" w:id="0">
    <w:p w14:paraId="5FBEDADA" w14:textId="77777777" w:rsidR="00305A26" w:rsidRDefault="00305A26" w:rsidP="0030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412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EDADB" w14:textId="1D4DAAE5" w:rsidR="00305A26" w:rsidRDefault="00305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EDADC" w14:textId="77777777" w:rsidR="00305A26" w:rsidRDefault="0030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DAD7" w14:textId="77777777" w:rsidR="00305A26" w:rsidRDefault="00305A26" w:rsidP="00305A26">
      <w:pPr>
        <w:spacing w:after="0" w:line="240" w:lineRule="auto"/>
      </w:pPr>
      <w:r>
        <w:separator/>
      </w:r>
    </w:p>
  </w:footnote>
  <w:footnote w:type="continuationSeparator" w:id="0">
    <w:p w14:paraId="5FBEDAD8" w14:textId="77777777" w:rsidR="00305A26" w:rsidRDefault="00305A26" w:rsidP="0030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405"/>
    <w:multiLevelType w:val="hybridMultilevel"/>
    <w:tmpl w:val="0B8EB6C8"/>
    <w:lvl w:ilvl="0" w:tplc="97B0B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163"/>
    <w:multiLevelType w:val="hybridMultilevel"/>
    <w:tmpl w:val="2DAA45B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0BD7"/>
    <w:multiLevelType w:val="hybridMultilevel"/>
    <w:tmpl w:val="A51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07C87"/>
    <w:multiLevelType w:val="hybridMultilevel"/>
    <w:tmpl w:val="82F6B0B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A6"/>
    <w:rsid w:val="0000034D"/>
    <w:rsid w:val="00000AD8"/>
    <w:rsid w:val="0000266E"/>
    <w:rsid w:val="000221F6"/>
    <w:rsid w:val="000270A7"/>
    <w:rsid w:val="0002771A"/>
    <w:rsid w:val="00032BC5"/>
    <w:rsid w:val="00032E8F"/>
    <w:rsid w:val="000334CA"/>
    <w:rsid w:val="000404F4"/>
    <w:rsid w:val="00041EB7"/>
    <w:rsid w:val="0004285A"/>
    <w:rsid w:val="000429B4"/>
    <w:rsid w:val="00042F0A"/>
    <w:rsid w:val="000453F5"/>
    <w:rsid w:val="0004616C"/>
    <w:rsid w:val="000476C2"/>
    <w:rsid w:val="00051860"/>
    <w:rsid w:val="000523DC"/>
    <w:rsid w:val="00064257"/>
    <w:rsid w:val="000675CC"/>
    <w:rsid w:val="000740C4"/>
    <w:rsid w:val="00074C72"/>
    <w:rsid w:val="00076BDF"/>
    <w:rsid w:val="0007747E"/>
    <w:rsid w:val="0008217C"/>
    <w:rsid w:val="00082EFA"/>
    <w:rsid w:val="000936D0"/>
    <w:rsid w:val="000A0763"/>
    <w:rsid w:val="000A5C91"/>
    <w:rsid w:val="000A5ECC"/>
    <w:rsid w:val="000B17D7"/>
    <w:rsid w:val="000B42D3"/>
    <w:rsid w:val="000C0F77"/>
    <w:rsid w:val="000D02B0"/>
    <w:rsid w:val="000D3CE5"/>
    <w:rsid w:val="000D7A5C"/>
    <w:rsid w:val="000E0AFB"/>
    <w:rsid w:val="000E290C"/>
    <w:rsid w:val="000E6C15"/>
    <w:rsid w:val="000F1805"/>
    <w:rsid w:val="000F6735"/>
    <w:rsid w:val="000F6DC4"/>
    <w:rsid w:val="001013DC"/>
    <w:rsid w:val="00101A80"/>
    <w:rsid w:val="0010396C"/>
    <w:rsid w:val="00104AA1"/>
    <w:rsid w:val="00105F9F"/>
    <w:rsid w:val="00110336"/>
    <w:rsid w:val="001104E4"/>
    <w:rsid w:val="001165C2"/>
    <w:rsid w:val="00116CDE"/>
    <w:rsid w:val="00121FC8"/>
    <w:rsid w:val="00126BDB"/>
    <w:rsid w:val="00126EB1"/>
    <w:rsid w:val="00131B64"/>
    <w:rsid w:val="00132410"/>
    <w:rsid w:val="00132969"/>
    <w:rsid w:val="00136197"/>
    <w:rsid w:val="001415A1"/>
    <w:rsid w:val="001473DA"/>
    <w:rsid w:val="0015062E"/>
    <w:rsid w:val="00152C56"/>
    <w:rsid w:val="00153508"/>
    <w:rsid w:val="0015701B"/>
    <w:rsid w:val="00160B17"/>
    <w:rsid w:val="0016254B"/>
    <w:rsid w:val="00165568"/>
    <w:rsid w:val="00165841"/>
    <w:rsid w:val="00167161"/>
    <w:rsid w:val="001704E7"/>
    <w:rsid w:val="001713B0"/>
    <w:rsid w:val="0018183B"/>
    <w:rsid w:val="00182C91"/>
    <w:rsid w:val="001838D3"/>
    <w:rsid w:val="001846AA"/>
    <w:rsid w:val="00190386"/>
    <w:rsid w:val="00190DCE"/>
    <w:rsid w:val="00193D94"/>
    <w:rsid w:val="00193F16"/>
    <w:rsid w:val="00195949"/>
    <w:rsid w:val="0019789E"/>
    <w:rsid w:val="00197F6A"/>
    <w:rsid w:val="001B0227"/>
    <w:rsid w:val="001B15CD"/>
    <w:rsid w:val="001B3751"/>
    <w:rsid w:val="001B3D15"/>
    <w:rsid w:val="001C0AD6"/>
    <w:rsid w:val="001C2150"/>
    <w:rsid w:val="001C6A12"/>
    <w:rsid w:val="001D2CE0"/>
    <w:rsid w:val="001D48AE"/>
    <w:rsid w:val="001D4EEB"/>
    <w:rsid w:val="001E13F6"/>
    <w:rsid w:val="001E1BFC"/>
    <w:rsid w:val="001E28D2"/>
    <w:rsid w:val="001E6DC0"/>
    <w:rsid w:val="001E7C27"/>
    <w:rsid w:val="001E7E93"/>
    <w:rsid w:val="001F0FA0"/>
    <w:rsid w:val="001F32D4"/>
    <w:rsid w:val="00203E73"/>
    <w:rsid w:val="00211CE2"/>
    <w:rsid w:val="00212FA4"/>
    <w:rsid w:val="00214984"/>
    <w:rsid w:val="00216A6B"/>
    <w:rsid w:val="00223C24"/>
    <w:rsid w:val="00224AA4"/>
    <w:rsid w:val="00224DE5"/>
    <w:rsid w:val="0022676B"/>
    <w:rsid w:val="00243FBE"/>
    <w:rsid w:val="00246D6F"/>
    <w:rsid w:val="00251FB3"/>
    <w:rsid w:val="0025262C"/>
    <w:rsid w:val="0025531B"/>
    <w:rsid w:val="00263EB6"/>
    <w:rsid w:val="0026557D"/>
    <w:rsid w:val="00265909"/>
    <w:rsid w:val="0027178C"/>
    <w:rsid w:val="002801C0"/>
    <w:rsid w:val="002802CF"/>
    <w:rsid w:val="002825E7"/>
    <w:rsid w:val="0028445A"/>
    <w:rsid w:val="00286A75"/>
    <w:rsid w:val="00286C0F"/>
    <w:rsid w:val="00287CBF"/>
    <w:rsid w:val="002905DE"/>
    <w:rsid w:val="00292E1F"/>
    <w:rsid w:val="002977B0"/>
    <w:rsid w:val="002A623C"/>
    <w:rsid w:val="002B0BC1"/>
    <w:rsid w:val="002B4A80"/>
    <w:rsid w:val="002B4F42"/>
    <w:rsid w:val="002C0AAC"/>
    <w:rsid w:val="002C14C5"/>
    <w:rsid w:val="002C1C6B"/>
    <w:rsid w:val="002C30EB"/>
    <w:rsid w:val="002D54D0"/>
    <w:rsid w:val="002D77C4"/>
    <w:rsid w:val="002E4A71"/>
    <w:rsid w:val="002E4E55"/>
    <w:rsid w:val="002E529B"/>
    <w:rsid w:val="00302F46"/>
    <w:rsid w:val="003030CA"/>
    <w:rsid w:val="00304152"/>
    <w:rsid w:val="003059B3"/>
    <w:rsid w:val="00305A26"/>
    <w:rsid w:val="00305A64"/>
    <w:rsid w:val="00307682"/>
    <w:rsid w:val="003130DB"/>
    <w:rsid w:val="00315C36"/>
    <w:rsid w:val="00320AD7"/>
    <w:rsid w:val="00324240"/>
    <w:rsid w:val="00326077"/>
    <w:rsid w:val="0033233F"/>
    <w:rsid w:val="0033725D"/>
    <w:rsid w:val="00342AF3"/>
    <w:rsid w:val="0034326B"/>
    <w:rsid w:val="003517E0"/>
    <w:rsid w:val="00353C20"/>
    <w:rsid w:val="003568C4"/>
    <w:rsid w:val="003657EF"/>
    <w:rsid w:val="00367349"/>
    <w:rsid w:val="00377393"/>
    <w:rsid w:val="003815E5"/>
    <w:rsid w:val="003821B2"/>
    <w:rsid w:val="003852C0"/>
    <w:rsid w:val="00385653"/>
    <w:rsid w:val="00385DF8"/>
    <w:rsid w:val="00392D59"/>
    <w:rsid w:val="00395BDE"/>
    <w:rsid w:val="003A226E"/>
    <w:rsid w:val="003A3AEE"/>
    <w:rsid w:val="003A419D"/>
    <w:rsid w:val="003B22B8"/>
    <w:rsid w:val="003B4178"/>
    <w:rsid w:val="003B545B"/>
    <w:rsid w:val="003B665C"/>
    <w:rsid w:val="003C09EF"/>
    <w:rsid w:val="003C14B6"/>
    <w:rsid w:val="003C15DB"/>
    <w:rsid w:val="003C5373"/>
    <w:rsid w:val="003C7A5F"/>
    <w:rsid w:val="003D2DD3"/>
    <w:rsid w:val="003E6974"/>
    <w:rsid w:val="003E7167"/>
    <w:rsid w:val="00402B45"/>
    <w:rsid w:val="00404161"/>
    <w:rsid w:val="00405E8E"/>
    <w:rsid w:val="00407AA1"/>
    <w:rsid w:val="00410761"/>
    <w:rsid w:val="004150D4"/>
    <w:rsid w:val="00415589"/>
    <w:rsid w:val="0042103D"/>
    <w:rsid w:val="004233BF"/>
    <w:rsid w:val="0042608D"/>
    <w:rsid w:val="00427052"/>
    <w:rsid w:val="00432D02"/>
    <w:rsid w:val="004368F5"/>
    <w:rsid w:val="00436BBB"/>
    <w:rsid w:val="004405D6"/>
    <w:rsid w:val="004406D9"/>
    <w:rsid w:val="00440BA9"/>
    <w:rsid w:val="004424EC"/>
    <w:rsid w:val="00445940"/>
    <w:rsid w:val="004508ED"/>
    <w:rsid w:val="00454222"/>
    <w:rsid w:val="004603DE"/>
    <w:rsid w:val="00462435"/>
    <w:rsid w:val="00462ED7"/>
    <w:rsid w:val="0047236C"/>
    <w:rsid w:val="0047360E"/>
    <w:rsid w:val="00474B68"/>
    <w:rsid w:val="004751DA"/>
    <w:rsid w:val="00480ADB"/>
    <w:rsid w:val="00481734"/>
    <w:rsid w:val="00492267"/>
    <w:rsid w:val="004927FA"/>
    <w:rsid w:val="00493226"/>
    <w:rsid w:val="004939CD"/>
    <w:rsid w:val="00494B2F"/>
    <w:rsid w:val="004953BD"/>
    <w:rsid w:val="004A05FA"/>
    <w:rsid w:val="004B24A7"/>
    <w:rsid w:val="004B3E68"/>
    <w:rsid w:val="004B53BA"/>
    <w:rsid w:val="004C1823"/>
    <w:rsid w:val="004C36A6"/>
    <w:rsid w:val="004C5B49"/>
    <w:rsid w:val="004D0D2C"/>
    <w:rsid w:val="004E15A1"/>
    <w:rsid w:val="004E1A8A"/>
    <w:rsid w:val="004E382D"/>
    <w:rsid w:val="004E56BD"/>
    <w:rsid w:val="004F1F19"/>
    <w:rsid w:val="00510076"/>
    <w:rsid w:val="00516E09"/>
    <w:rsid w:val="00517761"/>
    <w:rsid w:val="00521F6F"/>
    <w:rsid w:val="00526C72"/>
    <w:rsid w:val="00526ED1"/>
    <w:rsid w:val="0052765C"/>
    <w:rsid w:val="00533802"/>
    <w:rsid w:val="00533EC0"/>
    <w:rsid w:val="00536699"/>
    <w:rsid w:val="00541FA4"/>
    <w:rsid w:val="00542D2B"/>
    <w:rsid w:val="00547817"/>
    <w:rsid w:val="00552D5A"/>
    <w:rsid w:val="00553E61"/>
    <w:rsid w:val="00561652"/>
    <w:rsid w:val="005622A5"/>
    <w:rsid w:val="005652BA"/>
    <w:rsid w:val="0056539E"/>
    <w:rsid w:val="00567399"/>
    <w:rsid w:val="00570375"/>
    <w:rsid w:val="00570A4E"/>
    <w:rsid w:val="005715CC"/>
    <w:rsid w:val="00574E2F"/>
    <w:rsid w:val="00583515"/>
    <w:rsid w:val="00584B95"/>
    <w:rsid w:val="00590561"/>
    <w:rsid w:val="005915CA"/>
    <w:rsid w:val="00591E2A"/>
    <w:rsid w:val="00592289"/>
    <w:rsid w:val="00593930"/>
    <w:rsid w:val="00593F4E"/>
    <w:rsid w:val="00595C8E"/>
    <w:rsid w:val="005B1363"/>
    <w:rsid w:val="005B431F"/>
    <w:rsid w:val="005B6CA6"/>
    <w:rsid w:val="005C04B1"/>
    <w:rsid w:val="005C08E5"/>
    <w:rsid w:val="005C0F51"/>
    <w:rsid w:val="005C359E"/>
    <w:rsid w:val="005D3DC0"/>
    <w:rsid w:val="005E2D44"/>
    <w:rsid w:val="005F05B6"/>
    <w:rsid w:val="005F21AA"/>
    <w:rsid w:val="005F2D89"/>
    <w:rsid w:val="005F3DD7"/>
    <w:rsid w:val="00603738"/>
    <w:rsid w:val="006037E3"/>
    <w:rsid w:val="00603EE6"/>
    <w:rsid w:val="00604C3D"/>
    <w:rsid w:val="006059DA"/>
    <w:rsid w:val="00623A82"/>
    <w:rsid w:val="00626289"/>
    <w:rsid w:val="00627988"/>
    <w:rsid w:val="00631DD0"/>
    <w:rsid w:val="0063332A"/>
    <w:rsid w:val="00636C67"/>
    <w:rsid w:val="006418BB"/>
    <w:rsid w:val="00642921"/>
    <w:rsid w:val="00644516"/>
    <w:rsid w:val="00644C59"/>
    <w:rsid w:val="006515D4"/>
    <w:rsid w:val="00655D22"/>
    <w:rsid w:val="00655D5A"/>
    <w:rsid w:val="006565F3"/>
    <w:rsid w:val="0066084B"/>
    <w:rsid w:val="006613B7"/>
    <w:rsid w:val="00664FE3"/>
    <w:rsid w:val="00665E26"/>
    <w:rsid w:val="00666E36"/>
    <w:rsid w:val="0066752D"/>
    <w:rsid w:val="006712D8"/>
    <w:rsid w:val="0067311B"/>
    <w:rsid w:val="006733DD"/>
    <w:rsid w:val="0067456D"/>
    <w:rsid w:val="00675718"/>
    <w:rsid w:val="0067576E"/>
    <w:rsid w:val="00686DEA"/>
    <w:rsid w:val="00692D1D"/>
    <w:rsid w:val="0069467B"/>
    <w:rsid w:val="006A34B7"/>
    <w:rsid w:val="006B0EB9"/>
    <w:rsid w:val="006B4C28"/>
    <w:rsid w:val="006B672D"/>
    <w:rsid w:val="006C09F8"/>
    <w:rsid w:val="006D158A"/>
    <w:rsid w:val="006D3750"/>
    <w:rsid w:val="006D4B3A"/>
    <w:rsid w:val="006D64E2"/>
    <w:rsid w:val="006E007D"/>
    <w:rsid w:val="006E1066"/>
    <w:rsid w:val="006E2444"/>
    <w:rsid w:val="006F08D7"/>
    <w:rsid w:val="006F5636"/>
    <w:rsid w:val="00701870"/>
    <w:rsid w:val="00710601"/>
    <w:rsid w:val="00715385"/>
    <w:rsid w:val="0072145D"/>
    <w:rsid w:val="007222DD"/>
    <w:rsid w:val="00722A6F"/>
    <w:rsid w:val="00723AA6"/>
    <w:rsid w:val="00723E7B"/>
    <w:rsid w:val="00730D65"/>
    <w:rsid w:val="0073285C"/>
    <w:rsid w:val="00734C2C"/>
    <w:rsid w:val="00737F3C"/>
    <w:rsid w:val="00742EA5"/>
    <w:rsid w:val="007436FD"/>
    <w:rsid w:val="00744B56"/>
    <w:rsid w:val="00745139"/>
    <w:rsid w:val="0074671B"/>
    <w:rsid w:val="00746CAA"/>
    <w:rsid w:val="007508F2"/>
    <w:rsid w:val="00751182"/>
    <w:rsid w:val="00762F69"/>
    <w:rsid w:val="0076360E"/>
    <w:rsid w:val="00763ED7"/>
    <w:rsid w:val="00765FCF"/>
    <w:rsid w:val="00767D20"/>
    <w:rsid w:val="00767E87"/>
    <w:rsid w:val="0077605E"/>
    <w:rsid w:val="0077628D"/>
    <w:rsid w:val="007762C1"/>
    <w:rsid w:val="007771C7"/>
    <w:rsid w:val="007875D7"/>
    <w:rsid w:val="00790892"/>
    <w:rsid w:val="007A494A"/>
    <w:rsid w:val="007A5190"/>
    <w:rsid w:val="007A5272"/>
    <w:rsid w:val="007A55F7"/>
    <w:rsid w:val="007A584C"/>
    <w:rsid w:val="007A6FFD"/>
    <w:rsid w:val="007B021F"/>
    <w:rsid w:val="007C3693"/>
    <w:rsid w:val="007C6017"/>
    <w:rsid w:val="007D2A36"/>
    <w:rsid w:val="007D33A2"/>
    <w:rsid w:val="007D4BAB"/>
    <w:rsid w:val="007E37F8"/>
    <w:rsid w:val="007E4C42"/>
    <w:rsid w:val="007F6438"/>
    <w:rsid w:val="00802474"/>
    <w:rsid w:val="0080297C"/>
    <w:rsid w:val="00802A7B"/>
    <w:rsid w:val="0080307F"/>
    <w:rsid w:val="00810D83"/>
    <w:rsid w:val="008145D4"/>
    <w:rsid w:val="0081764E"/>
    <w:rsid w:val="008216E9"/>
    <w:rsid w:val="00822FB1"/>
    <w:rsid w:val="00825519"/>
    <w:rsid w:val="00832FCC"/>
    <w:rsid w:val="00833C88"/>
    <w:rsid w:val="00836B72"/>
    <w:rsid w:val="0084111B"/>
    <w:rsid w:val="0084148D"/>
    <w:rsid w:val="008423F9"/>
    <w:rsid w:val="0084288B"/>
    <w:rsid w:val="00842E6F"/>
    <w:rsid w:val="00850367"/>
    <w:rsid w:val="0085655B"/>
    <w:rsid w:val="0086051E"/>
    <w:rsid w:val="008605E5"/>
    <w:rsid w:val="00864127"/>
    <w:rsid w:val="00864D2C"/>
    <w:rsid w:val="00867D95"/>
    <w:rsid w:val="00870486"/>
    <w:rsid w:val="00873146"/>
    <w:rsid w:val="00874DDA"/>
    <w:rsid w:val="008821AF"/>
    <w:rsid w:val="008915C4"/>
    <w:rsid w:val="008A0239"/>
    <w:rsid w:val="008A0A4E"/>
    <w:rsid w:val="008A0E77"/>
    <w:rsid w:val="008A143B"/>
    <w:rsid w:val="008A2FAA"/>
    <w:rsid w:val="008A490C"/>
    <w:rsid w:val="008A4BBE"/>
    <w:rsid w:val="008A6CBD"/>
    <w:rsid w:val="008A6FCF"/>
    <w:rsid w:val="008A7E7F"/>
    <w:rsid w:val="008B1078"/>
    <w:rsid w:val="008B2672"/>
    <w:rsid w:val="008B59B3"/>
    <w:rsid w:val="008B66B1"/>
    <w:rsid w:val="008B6DD5"/>
    <w:rsid w:val="008C479F"/>
    <w:rsid w:val="008C5790"/>
    <w:rsid w:val="008D7F1D"/>
    <w:rsid w:val="008E273C"/>
    <w:rsid w:val="008E380E"/>
    <w:rsid w:val="008E398C"/>
    <w:rsid w:val="008F11E5"/>
    <w:rsid w:val="008F3AAD"/>
    <w:rsid w:val="008F3B29"/>
    <w:rsid w:val="008F6893"/>
    <w:rsid w:val="0090354A"/>
    <w:rsid w:val="00903D6A"/>
    <w:rsid w:val="009079E6"/>
    <w:rsid w:val="00912E3A"/>
    <w:rsid w:val="00915D19"/>
    <w:rsid w:val="0092514E"/>
    <w:rsid w:val="00930FD8"/>
    <w:rsid w:val="00937BEB"/>
    <w:rsid w:val="009428F1"/>
    <w:rsid w:val="00943178"/>
    <w:rsid w:val="009444E8"/>
    <w:rsid w:val="00946ACA"/>
    <w:rsid w:val="009515AD"/>
    <w:rsid w:val="0095604C"/>
    <w:rsid w:val="00963082"/>
    <w:rsid w:val="00963D6C"/>
    <w:rsid w:val="00966F41"/>
    <w:rsid w:val="00966FAC"/>
    <w:rsid w:val="00967298"/>
    <w:rsid w:val="0097327E"/>
    <w:rsid w:val="009751C5"/>
    <w:rsid w:val="00977933"/>
    <w:rsid w:val="00980ACC"/>
    <w:rsid w:val="009905EA"/>
    <w:rsid w:val="00990811"/>
    <w:rsid w:val="009A282B"/>
    <w:rsid w:val="009B0C8D"/>
    <w:rsid w:val="009B148E"/>
    <w:rsid w:val="009B2B55"/>
    <w:rsid w:val="009B544E"/>
    <w:rsid w:val="009C68EC"/>
    <w:rsid w:val="009C6CEA"/>
    <w:rsid w:val="009C728F"/>
    <w:rsid w:val="009C7AA4"/>
    <w:rsid w:val="009D1785"/>
    <w:rsid w:val="009D1A64"/>
    <w:rsid w:val="009D1AAE"/>
    <w:rsid w:val="009D1FCD"/>
    <w:rsid w:val="009D24F6"/>
    <w:rsid w:val="009E189A"/>
    <w:rsid w:val="009E722E"/>
    <w:rsid w:val="009F00A3"/>
    <w:rsid w:val="009F01C3"/>
    <w:rsid w:val="009F0962"/>
    <w:rsid w:val="009F19CC"/>
    <w:rsid w:val="009F4086"/>
    <w:rsid w:val="009F51A3"/>
    <w:rsid w:val="00A02479"/>
    <w:rsid w:val="00A0749F"/>
    <w:rsid w:val="00A10E0F"/>
    <w:rsid w:val="00A1383A"/>
    <w:rsid w:val="00A14BEB"/>
    <w:rsid w:val="00A21AAB"/>
    <w:rsid w:val="00A2210C"/>
    <w:rsid w:val="00A24788"/>
    <w:rsid w:val="00A25006"/>
    <w:rsid w:val="00A258BB"/>
    <w:rsid w:val="00A3024E"/>
    <w:rsid w:val="00A31D58"/>
    <w:rsid w:val="00A36009"/>
    <w:rsid w:val="00A36BC7"/>
    <w:rsid w:val="00A36E93"/>
    <w:rsid w:val="00A4735B"/>
    <w:rsid w:val="00A51C2A"/>
    <w:rsid w:val="00A54CBB"/>
    <w:rsid w:val="00A552DB"/>
    <w:rsid w:val="00A559EB"/>
    <w:rsid w:val="00A57EF0"/>
    <w:rsid w:val="00A61A56"/>
    <w:rsid w:val="00A62633"/>
    <w:rsid w:val="00A6500C"/>
    <w:rsid w:val="00A72791"/>
    <w:rsid w:val="00A727CB"/>
    <w:rsid w:val="00A73300"/>
    <w:rsid w:val="00A75028"/>
    <w:rsid w:val="00A764BA"/>
    <w:rsid w:val="00A7682C"/>
    <w:rsid w:val="00A771FE"/>
    <w:rsid w:val="00A850C1"/>
    <w:rsid w:val="00A9085F"/>
    <w:rsid w:val="00AA05C1"/>
    <w:rsid w:val="00AA064C"/>
    <w:rsid w:val="00AA3018"/>
    <w:rsid w:val="00AA42B1"/>
    <w:rsid w:val="00AA472E"/>
    <w:rsid w:val="00AB1CF1"/>
    <w:rsid w:val="00AB72CF"/>
    <w:rsid w:val="00AB798E"/>
    <w:rsid w:val="00AC3654"/>
    <w:rsid w:val="00AC4D0F"/>
    <w:rsid w:val="00AC5413"/>
    <w:rsid w:val="00AD0645"/>
    <w:rsid w:val="00AD628B"/>
    <w:rsid w:val="00AD6A3F"/>
    <w:rsid w:val="00AD6DE0"/>
    <w:rsid w:val="00AD6EEB"/>
    <w:rsid w:val="00AE18CC"/>
    <w:rsid w:val="00AE318F"/>
    <w:rsid w:val="00AE7992"/>
    <w:rsid w:val="00AF131C"/>
    <w:rsid w:val="00AF6AE2"/>
    <w:rsid w:val="00B01853"/>
    <w:rsid w:val="00B01CDE"/>
    <w:rsid w:val="00B07A6F"/>
    <w:rsid w:val="00B1311B"/>
    <w:rsid w:val="00B137E9"/>
    <w:rsid w:val="00B1543C"/>
    <w:rsid w:val="00B1644E"/>
    <w:rsid w:val="00B167C4"/>
    <w:rsid w:val="00B16C39"/>
    <w:rsid w:val="00B22C8D"/>
    <w:rsid w:val="00B22E13"/>
    <w:rsid w:val="00B22EE1"/>
    <w:rsid w:val="00B27D25"/>
    <w:rsid w:val="00B30C1C"/>
    <w:rsid w:val="00B31536"/>
    <w:rsid w:val="00B31ED9"/>
    <w:rsid w:val="00B378C4"/>
    <w:rsid w:val="00B37D25"/>
    <w:rsid w:val="00B40D6D"/>
    <w:rsid w:val="00B41312"/>
    <w:rsid w:val="00B46A00"/>
    <w:rsid w:val="00B46E20"/>
    <w:rsid w:val="00B47458"/>
    <w:rsid w:val="00B53565"/>
    <w:rsid w:val="00B54194"/>
    <w:rsid w:val="00B554D2"/>
    <w:rsid w:val="00B55BF6"/>
    <w:rsid w:val="00B608F5"/>
    <w:rsid w:val="00B61F4A"/>
    <w:rsid w:val="00B62A93"/>
    <w:rsid w:val="00B65CC7"/>
    <w:rsid w:val="00B71D63"/>
    <w:rsid w:val="00B73211"/>
    <w:rsid w:val="00B80248"/>
    <w:rsid w:val="00B86D1D"/>
    <w:rsid w:val="00B92EC4"/>
    <w:rsid w:val="00B96C9C"/>
    <w:rsid w:val="00BA33ED"/>
    <w:rsid w:val="00BA3E82"/>
    <w:rsid w:val="00BA54E0"/>
    <w:rsid w:val="00BB1E42"/>
    <w:rsid w:val="00BB2ED3"/>
    <w:rsid w:val="00BB7041"/>
    <w:rsid w:val="00BC0057"/>
    <w:rsid w:val="00BC53B4"/>
    <w:rsid w:val="00BC6E2F"/>
    <w:rsid w:val="00BC78D7"/>
    <w:rsid w:val="00BD0CDC"/>
    <w:rsid w:val="00BD5D5B"/>
    <w:rsid w:val="00BD6180"/>
    <w:rsid w:val="00BF4992"/>
    <w:rsid w:val="00C006D7"/>
    <w:rsid w:val="00C03114"/>
    <w:rsid w:val="00C05A2F"/>
    <w:rsid w:val="00C07AD7"/>
    <w:rsid w:val="00C12167"/>
    <w:rsid w:val="00C1268A"/>
    <w:rsid w:val="00C12CAD"/>
    <w:rsid w:val="00C150D7"/>
    <w:rsid w:val="00C156FC"/>
    <w:rsid w:val="00C1617C"/>
    <w:rsid w:val="00C2202B"/>
    <w:rsid w:val="00C229E0"/>
    <w:rsid w:val="00C22AFB"/>
    <w:rsid w:val="00C27E06"/>
    <w:rsid w:val="00C30BED"/>
    <w:rsid w:val="00C32B59"/>
    <w:rsid w:val="00C40B4A"/>
    <w:rsid w:val="00C42E97"/>
    <w:rsid w:val="00C5211F"/>
    <w:rsid w:val="00C546C2"/>
    <w:rsid w:val="00C57D3C"/>
    <w:rsid w:val="00C64BA7"/>
    <w:rsid w:val="00C67366"/>
    <w:rsid w:val="00C75347"/>
    <w:rsid w:val="00C8047A"/>
    <w:rsid w:val="00C80997"/>
    <w:rsid w:val="00C82B0E"/>
    <w:rsid w:val="00C92B5A"/>
    <w:rsid w:val="00C92E27"/>
    <w:rsid w:val="00C93830"/>
    <w:rsid w:val="00C93910"/>
    <w:rsid w:val="00C96396"/>
    <w:rsid w:val="00C96D47"/>
    <w:rsid w:val="00CA6704"/>
    <w:rsid w:val="00CA7459"/>
    <w:rsid w:val="00CA7646"/>
    <w:rsid w:val="00CB57DD"/>
    <w:rsid w:val="00CB5A51"/>
    <w:rsid w:val="00CB6AD0"/>
    <w:rsid w:val="00CB6C30"/>
    <w:rsid w:val="00CC2BD6"/>
    <w:rsid w:val="00CC5F98"/>
    <w:rsid w:val="00CD20CA"/>
    <w:rsid w:val="00CD31D4"/>
    <w:rsid w:val="00CE0168"/>
    <w:rsid w:val="00CE5510"/>
    <w:rsid w:val="00CE55D4"/>
    <w:rsid w:val="00CE5CBE"/>
    <w:rsid w:val="00CE7216"/>
    <w:rsid w:val="00CF00A5"/>
    <w:rsid w:val="00CF0E3B"/>
    <w:rsid w:val="00CF3C38"/>
    <w:rsid w:val="00D01CB6"/>
    <w:rsid w:val="00D0310C"/>
    <w:rsid w:val="00D07B05"/>
    <w:rsid w:val="00D10155"/>
    <w:rsid w:val="00D12651"/>
    <w:rsid w:val="00D1381C"/>
    <w:rsid w:val="00D13B1B"/>
    <w:rsid w:val="00D14234"/>
    <w:rsid w:val="00D14B9A"/>
    <w:rsid w:val="00D16B6F"/>
    <w:rsid w:val="00D23DD8"/>
    <w:rsid w:val="00D257F9"/>
    <w:rsid w:val="00D25B7F"/>
    <w:rsid w:val="00D2758D"/>
    <w:rsid w:val="00D32A1B"/>
    <w:rsid w:val="00D34872"/>
    <w:rsid w:val="00D3766A"/>
    <w:rsid w:val="00D413DB"/>
    <w:rsid w:val="00D449B0"/>
    <w:rsid w:val="00D4560C"/>
    <w:rsid w:val="00D4598F"/>
    <w:rsid w:val="00D45EA8"/>
    <w:rsid w:val="00D554E1"/>
    <w:rsid w:val="00D56D3E"/>
    <w:rsid w:val="00D60A90"/>
    <w:rsid w:val="00D63749"/>
    <w:rsid w:val="00D6389E"/>
    <w:rsid w:val="00D644EB"/>
    <w:rsid w:val="00D65B48"/>
    <w:rsid w:val="00D67BD4"/>
    <w:rsid w:val="00D721EC"/>
    <w:rsid w:val="00D7239F"/>
    <w:rsid w:val="00D746D3"/>
    <w:rsid w:val="00D759CA"/>
    <w:rsid w:val="00D8074B"/>
    <w:rsid w:val="00D82049"/>
    <w:rsid w:val="00D825E2"/>
    <w:rsid w:val="00D85A51"/>
    <w:rsid w:val="00D9733C"/>
    <w:rsid w:val="00DA26AF"/>
    <w:rsid w:val="00DA367B"/>
    <w:rsid w:val="00DA7509"/>
    <w:rsid w:val="00DB10CA"/>
    <w:rsid w:val="00DB1E9C"/>
    <w:rsid w:val="00DB4D73"/>
    <w:rsid w:val="00DB50BC"/>
    <w:rsid w:val="00DC01B1"/>
    <w:rsid w:val="00DC166C"/>
    <w:rsid w:val="00DD2B53"/>
    <w:rsid w:val="00DD4F2F"/>
    <w:rsid w:val="00DD79B2"/>
    <w:rsid w:val="00DE06DA"/>
    <w:rsid w:val="00DE0795"/>
    <w:rsid w:val="00DE2412"/>
    <w:rsid w:val="00DE24B3"/>
    <w:rsid w:val="00DF043C"/>
    <w:rsid w:val="00DF5ED7"/>
    <w:rsid w:val="00E03919"/>
    <w:rsid w:val="00E050E6"/>
    <w:rsid w:val="00E0543F"/>
    <w:rsid w:val="00E06C2E"/>
    <w:rsid w:val="00E0791C"/>
    <w:rsid w:val="00E22728"/>
    <w:rsid w:val="00E279CE"/>
    <w:rsid w:val="00E30271"/>
    <w:rsid w:val="00E31151"/>
    <w:rsid w:val="00E372A1"/>
    <w:rsid w:val="00E37A21"/>
    <w:rsid w:val="00E451A7"/>
    <w:rsid w:val="00E46BA7"/>
    <w:rsid w:val="00E5367F"/>
    <w:rsid w:val="00E53B15"/>
    <w:rsid w:val="00E5438F"/>
    <w:rsid w:val="00E544DD"/>
    <w:rsid w:val="00E56993"/>
    <w:rsid w:val="00E57E7F"/>
    <w:rsid w:val="00E678F2"/>
    <w:rsid w:val="00E8332D"/>
    <w:rsid w:val="00E84E1D"/>
    <w:rsid w:val="00E92D74"/>
    <w:rsid w:val="00E94718"/>
    <w:rsid w:val="00E972C5"/>
    <w:rsid w:val="00EA26D5"/>
    <w:rsid w:val="00EA47E0"/>
    <w:rsid w:val="00EA4AFC"/>
    <w:rsid w:val="00EB1CB6"/>
    <w:rsid w:val="00EB22D6"/>
    <w:rsid w:val="00EB6312"/>
    <w:rsid w:val="00EB7A35"/>
    <w:rsid w:val="00EC0D84"/>
    <w:rsid w:val="00EC43FE"/>
    <w:rsid w:val="00EC60BA"/>
    <w:rsid w:val="00ED0388"/>
    <w:rsid w:val="00ED2CCD"/>
    <w:rsid w:val="00ED2E52"/>
    <w:rsid w:val="00ED3BA1"/>
    <w:rsid w:val="00EE1AF7"/>
    <w:rsid w:val="00EE20FD"/>
    <w:rsid w:val="00EE40AE"/>
    <w:rsid w:val="00EE7D7D"/>
    <w:rsid w:val="00EF17F8"/>
    <w:rsid w:val="00EF3191"/>
    <w:rsid w:val="00EF3426"/>
    <w:rsid w:val="00EF4C52"/>
    <w:rsid w:val="00EF6953"/>
    <w:rsid w:val="00EF7350"/>
    <w:rsid w:val="00F00997"/>
    <w:rsid w:val="00F02C41"/>
    <w:rsid w:val="00F04775"/>
    <w:rsid w:val="00F077F8"/>
    <w:rsid w:val="00F15E0B"/>
    <w:rsid w:val="00F16B78"/>
    <w:rsid w:val="00F20ECE"/>
    <w:rsid w:val="00F232D1"/>
    <w:rsid w:val="00F24AB7"/>
    <w:rsid w:val="00F276B0"/>
    <w:rsid w:val="00F37CDB"/>
    <w:rsid w:val="00F4163C"/>
    <w:rsid w:val="00F438BE"/>
    <w:rsid w:val="00F47EDC"/>
    <w:rsid w:val="00F55297"/>
    <w:rsid w:val="00F57CF0"/>
    <w:rsid w:val="00F63E8A"/>
    <w:rsid w:val="00F6423E"/>
    <w:rsid w:val="00F657FF"/>
    <w:rsid w:val="00F724D9"/>
    <w:rsid w:val="00F73607"/>
    <w:rsid w:val="00F73678"/>
    <w:rsid w:val="00F740FD"/>
    <w:rsid w:val="00F826A7"/>
    <w:rsid w:val="00F83DD5"/>
    <w:rsid w:val="00F85AD3"/>
    <w:rsid w:val="00F8660D"/>
    <w:rsid w:val="00F86FE0"/>
    <w:rsid w:val="00F87044"/>
    <w:rsid w:val="00F911FD"/>
    <w:rsid w:val="00F9701E"/>
    <w:rsid w:val="00FA1B06"/>
    <w:rsid w:val="00FA4DEA"/>
    <w:rsid w:val="00FB47A8"/>
    <w:rsid w:val="00FB4CFA"/>
    <w:rsid w:val="00FB6083"/>
    <w:rsid w:val="00FB782D"/>
    <w:rsid w:val="00FC1191"/>
    <w:rsid w:val="00FC2D83"/>
    <w:rsid w:val="00FC523D"/>
    <w:rsid w:val="00FC58E8"/>
    <w:rsid w:val="00FD352F"/>
    <w:rsid w:val="00FD35CC"/>
    <w:rsid w:val="00FE3892"/>
    <w:rsid w:val="00FE3ACF"/>
    <w:rsid w:val="00FE3B9C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DAB3"/>
  <w15:docId w15:val="{C35498E4-25BF-4668-B29B-254FA74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AE"/>
  </w:style>
  <w:style w:type="paragraph" w:styleId="Heading1">
    <w:name w:val="heading 1"/>
    <w:basedOn w:val="Normal"/>
    <w:next w:val="Normal"/>
    <w:link w:val="Heading1Char"/>
    <w:uiPriority w:val="9"/>
    <w:qFormat/>
    <w:rsid w:val="005B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5B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0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0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26"/>
  </w:style>
  <w:style w:type="paragraph" w:styleId="Footer">
    <w:name w:val="footer"/>
    <w:basedOn w:val="Normal"/>
    <w:link w:val="FooterChar"/>
    <w:uiPriority w:val="99"/>
    <w:unhideWhenUsed/>
    <w:rsid w:val="0030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830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503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4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237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657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 Filings" ma:contentTypeID="0x0101008F8584E0F0F71B499B1579AEA3E3B4E100221613F8E8794444A69A3723889269F2" ma:contentTypeVersion="16" ma:contentTypeDescription="" ma:contentTypeScope="" ma:versionID="92623e6fe88688fda37a3876b12d0f1a">
  <xsd:schema xmlns:xsd="http://www.w3.org/2001/XMLSchema" xmlns:xs="http://www.w3.org/2001/XMLSchema" xmlns:p="http://schemas.microsoft.com/office/2006/metadata/properties" xmlns:ns2="b2b5f4cf-efb3-4c32-9246-275044c8a9bb" xmlns:ns3="17f2577b-c8a7-464c-acd8-85d53c19c6e2" xmlns:ns4="a747ce56-605e-4d0d-ae48-74538ece1cfd" targetNamespace="http://schemas.microsoft.com/office/2006/metadata/properties" ma:root="true" ma:fieldsID="ffbd2e2df76bbae3017a255b5942b74a" ns2:_="" ns3:_="" ns4:_="">
    <xsd:import namespace="b2b5f4cf-efb3-4c32-9246-275044c8a9bb"/>
    <xsd:import namespace="17f2577b-c8a7-464c-acd8-85d53c19c6e2"/>
    <xsd:import namespace="a747ce56-605e-4d0d-ae48-74538ece1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d5421cec8f462e9a452f83bb98201a" minOccurs="0"/>
                <xsd:element ref="ns3:TaxCatchAll" minOccurs="0"/>
                <xsd:element ref="ns3:TaxCatchAllLabel" minOccurs="0"/>
                <xsd:element ref="ns2:TypeOfApplication" minOccurs="0"/>
                <xsd:element ref="ns2:TypeOfFiling" minOccurs="0"/>
                <xsd:element ref="ns2:ebecdb02f68f4211858ff17004059c1f" minOccurs="0"/>
                <xsd:element ref="ns2:af35b1f6f177402987f2783356f0cf72" minOccurs="0"/>
                <xsd:element ref="ns2:fb6e2bba685349d0ac18b5ebf5c41467" minOccurs="0"/>
                <xsd:element ref="ns2:n35a992af6d84a8d86dee22745e5844a" minOccurs="0"/>
                <xsd:element ref="ns2:ReportingPeriod" minOccurs="0"/>
                <xsd:element ref="ns2:CounterParty" minOccurs="0"/>
                <xsd:element ref="ns2:ServiceArea" minOccurs="0"/>
                <xsd:element ref="ns2:ne96e0df53b64e5483876e1676687a1e" minOccurs="0"/>
                <xsd:element ref="ns2:LibrarySource" minOccurs="0"/>
                <xsd:element ref="ns4:Archiv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5f4cf-efb3-4c32-9246-275044c8a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_dlc_DocId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_dlc_DocIdUrl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_dlc_DocIdPersistId" ma:description="Keep ID on add." ma:hidden="true" ma:internalName="_dlc_DocIdPersistId" ma:readOnly="true">
      <xsd:simpleType>
        <xsd:restriction base="dms:Boolean"/>
      </xsd:simpleType>
    </xsd:element>
    <xsd:element name="gfd5421cec8f462e9a452f83bb98201a" ma:index="11" nillable="true" ma:taxonomy="true" ma:internalName="gfd5421cec8f462e9a452f83bb98201a" ma:taxonomyFieldName="RACompany" ma:displayName="Company Name" ma:readOnly="false" ma:default="" ma:fieldId="{0fd5421c-ec8f-462e-9a45-2f83bb98201a}" ma:taxonomyMulti="true" ma:sspId="6154607f-c48e-4583-bc0e-3603e521537c" ma:termSetId="ca380f65-1699-4cb6-9aa4-798ac93a85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OfApplication" ma:index="15" nillable="true" ma:displayName="Type of Application" ma:format="Dropdown" ma:internalName="TypeOfApplication">
      <xsd:simpleType>
        <xsd:restriction base="dms:Choice">
          <xsd:enumeration value="ACP"/>
          <xsd:enumeration value="Biomethane"/>
          <xsd:enumeration value="CNG-LNG Services for Vehicles"/>
          <xsd:enumeration value="CPCN"/>
          <xsd:enumeration value="Gas Cost Reports"/>
          <xsd:enumeration value="GasEDI Contracts"/>
          <xsd:enumeration value="GSMIP"/>
          <xsd:enumeration value="Interventions and Other Jurisdictions"/>
          <xsd:enumeration value="Mt Hayes Supplementary Service Notice"/>
          <xsd:enumeration value="Natural Gas Supply Contracts"/>
          <xsd:enumeration value="Northern BC Study"/>
          <xsd:enumeration value="PRMP/Hedging Reports"/>
          <xsd:enumeration value="Propane Supply Contracts"/>
          <xsd:enumeration value="Rate Design Application"/>
          <xsd:enumeration value="Receipt Point Fuel Ratios"/>
          <xsd:enumeration value="Return on Equity"/>
          <xsd:enumeration value="Revenue Requirements Application"/>
          <xsd:enumeration value="Storage Contracts"/>
          <xsd:enumeration value="Tariffs"/>
          <xsd:enumeration value="Thermal Energy Services"/>
          <xsd:enumeration value="Transportation Contracts"/>
          <xsd:enumeration value="Other"/>
        </xsd:restriction>
      </xsd:simpleType>
    </xsd:element>
    <xsd:element name="TypeOfFiling" ma:index="16" nillable="true" ma:displayName="Type of Filing" ma:format="Dropdown" ma:internalName="TypeOfFiling">
      <xsd:simpleType>
        <xsd:restriction base="dms:Choice">
          <xsd:enumeration value="Appendices"/>
          <xsd:enumeration value="Application"/>
          <xsd:enumeration value="Argument - Final Argument, Reply Argument"/>
          <xsd:enumeration value="Compliance Filing"/>
          <xsd:enumeration value="Correspondence"/>
          <xsd:enumeration value="Decision"/>
          <xsd:enumeration value="IR - Information Request"/>
          <xsd:enumeration value="Letter"/>
          <xsd:enumeration value="Order"/>
          <xsd:enumeration value="Presentation"/>
          <xsd:enumeration value="Proceeding Exhibit"/>
          <xsd:enumeration value="Registrations"/>
          <xsd:enumeration value="Report"/>
          <xsd:enumeration value="Transcript"/>
          <xsd:enumeration value="Undertaking Response"/>
          <xsd:enumeration value="Other"/>
        </xsd:restriction>
      </xsd:simpleType>
    </xsd:element>
    <xsd:element name="ebecdb02f68f4211858ff17004059c1f" ma:index="17" nillable="true" ma:taxonomy="true" ma:internalName="ebecdb02f68f4211858ff17004059c1f" ma:taxonomyFieldName="FromMonth" ma:displayName="From Month" ma:default="" ma:fieldId="{ebecdb02-f68f-4211-858f-f17004059c1f}" ma:sspId="6154607f-c48e-4583-bc0e-3603e521537c" ma:termSetId="f67d72b5-f206-4721-a8e7-1d10362e8c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35b1f6f177402987f2783356f0cf72" ma:index="19" nillable="true" ma:taxonomy="true" ma:internalName="af35b1f6f177402987f2783356f0cf72" ma:taxonomyFieldName="FromYear" ma:displayName="From Year" ma:readOnly="false" ma:default="" ma:fieldId="{af35b1f6-f177-4029-87f2-783356f0cf72}" ma:sspId="6154607f-c48e-4583-bc0e-3603e521537c" ma:termSetId="878ac07f-4ae6-470b-909b-7bfc931daa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b6e2bba685349d0ac18b5ebf5c41467" ma:index="21" nillable="true" ma:taxonomy="true" ma:internalName="fb6e2bba685349d0ac18b5ebf5c41467" ma:taxonomyFieldName="ToMonth" ma:displayName="To Month" ma:default="" ma:fieldId="{fb6e2bba-6853-49d0-ac18-b5ebf5c41467}" ma:sspId="6154607f-c48e-4583-bc0e-3603e521537c" ma:termSetId="f67d72b5-f206-4721-a8e7-1d10362e8c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a992af6d84a8d86dee22745e5844a" ma:index="23" nillable="true" ma:taxonomy="true" ma:internalName="n35a992af6d84a8d86dee22745e5844a" ma:taxonomyFieldName="ToYear" ma:displayName="To Year" ma:readOnly="false" ma:default="" ma:fieldId="{735a992a-f6d8-4a8d-86de-e22745e5844a}" ma:sspId="6154607f-c48e-4583-bc0e-3603e521537c" ma:termSetId="878ac07f-4ae6-470b-909b-7bfc931daa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ortingPeriod" ma:index="25" nillable="true" ma:displayName="Reporting Period" ma:format="Dropdown" ma:internalName="ReportingPeriod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Q1"/>
          <xsd:enumeration value="Q2"/>
          <xsd:enumeration value="Q3"/>
          <xsd:enumeration value="Q4"/>
          <xsd:enumeration value="Winter"/>
          <xsd:enumeration value="Year End"/>
          <xsd:enumeration value="Final"/>
          <xsd:enumeration value="Other"/>
        </xsd:restriction>
      </xsd:simpleType>
    </xsd:element>
    <xsd:element name="CounterParty" ma:index="26" nillable="true" ma:displayName="Counter Party" ma:format="Dropdown" ma:internalName="CounterParty">
      <xsd:simpleType>
        <xsd:restriction base="dms:Choice">
          <xsd:enumeration value="Spectra / WEI"/>
          <xsd:enumeration value="NGTL"/>
        </xsd:restriction>
      </xsd:simpleType>
    </xsd:element>
    <xsd:element name="ServiceArea" ma:index="27" nillable="true" ma:displayName="Service Area" ma:internalName="Service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umbia"/>
                    <xsd:enumeration value="Fort Nelson"/>
                    <xsd:enumeration value="Inland"/>
                    <xsd:enumeration value="Lower Mainland"/>
                    <xsd:enumeration value="Revelstoke"/>
                    <xsd:enumeration value="Vancouver Island"/>
                    <xsd:enumeration value="Whistler"/>
                  </xsd:restriction>
                </xsd:simpleType>
              </xsd:element>
            </xsd:sequence>
          </xsd:extension>
        </xsd:complexContent>
      </xsd:complexType>
    </xsd:element>
    <xsd:element name="ne96e0df53b64e5483876e1676687a1e" ma:index="28" nillable="true" ma:taxonomy="true" ma:internalName="ne96e0df53b64e5483876e1676687a1e" ma:taxonomyFieldName="RegulatoryBody" ma:displayName="Regulatory Body" ma:default="" ma:fieldId="{7e96e0df-53b6-4e54-8387-6e1676687a1e}" ma:sspId="6154607f-c48e-4583-bc0e-3603e521537c" ma:termSetId="8f92fee7-53f7-4144-9665-310574cdae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brarySource" ma:index="30" nillable="true" ma:displayName="Source Library" ma:internalName="LibrarySource">
      <xsd:simpleType>
        <xsd:restriction base="dms:Text">
          <xsd:maxLength value="255"/>
        </xsd:restriction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2577b-c8a7-464c-acd8-85d53c19c6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4103c65-21bd-4e7b-861e-7e49c80fd613}" ma:internalName="TaxCatchAll" ma:showField="CatchAllData" ma:web="b2b5f4cf-efb3-4c32-9246-275044c8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4103c65-21bd-4e7b-861e-7e49c80fd613}" ma:internalName="TaxCatchAllLabel" ma:readOnly="true" ma:showField="CatchAllDataLabel" ma:web="b2b5f4cf-efb3-4c32-9246-275044c8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7ce56-605e-4d0d-ae48-74538ece1cfd" elementFormDefault="qualified">
    <xsd:import namespace="http://schemas.microsoft.com/office/2006/documentManagement/types"/>
    <xsd:import namespace="http://schemas.microsoft.com/office/infopath/2007/PartnerControls"/>
    <xsd:element name="Archive" ma:index="31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5a992af6d84a8d86dee22745e5844a xmlns="b2b5f4cf-efb3-4c32-9246-275044c8a9bb">
      <Terms xmlns="http://schemas.microsoft.com/office/infopath/2007/PartnerControls"/>
    </n35a992af6d84a8d86dee22745e5844a>
    <CounterParty xmlns="b2b5f4cf-efb3-4c32-9246-275044c8a9bb" xsi:nil="true"/>
    <TypeOfApplication xmlns="b2b5f4cf-efb3-4c32-9246-275044c8a9bb" xsi:nil="true"/>
    <ebecdb02f68f4211858ff17004059c1f xmlns="b2b5f4cf-efb3-4c32-9246-275044c8a9bb">
      <Terms xmlns="http://schemas.microsoft.com/office/infopath/2007/PartnerControls"/>
    </ebecdb02f68f4211858ff17004059c1f>
    <fb6e2bba685349d0ac18b5ebf5c41467 xmlns="b2b5f4cf-efb3-4c32-9246-275044c8a9bb">
      <Terms xmlns="http://schemas.microsoft.com/office/infopath/2007/PartnerControls"/>
    </fb6e2bba685349d0ac18b5ebf5c41467>
    <LibrarySource xmlns="b2b5f4cf-efb3-4c32-9246-275044c8a9bb" xsi:nil="true"/>
    <gfd5421cec8f462e9a452f83bb98201a xmlns="b2b5f4cf-efb3-4c32-9246-275044c8a9bb">
      <Terms xmlns="http://schemas.microsoft.com/office/infopath/2007/PartnerControls"/>
    </gfd5421cec8f462e9a452f83bb98201a>
    <ReportingPeriod xmlns="b2b5f4cf-efb3-4c32-9246-275044c8a9bb" xsi:nil="true"/>
    <ServiceArea xmlns="b2b5f4cf-efb3-4c32-9246-275044c8a9bb"/>
    <TypeOfFiling xmlns="b2b5f4cf-efb3-4c32-9246-275044c8a9bb" xsi:nil="true"/>
    <af35b1f6f177402987f2783356f0cf72 xmlns="b2b5f4cf-efb3-4c32-9246-275044c8a9bb">
      <Terms xmlns="http://schemas.microsoft.com/office/infopath/2007/PartnerControls"/>
    </af35b1f6f177402987f2783356f0cf72>
    <ne96e0df53b64e5483876e1676687a1e xmlns="b2b5f4cf-efb3-4c32-9246-275044c8a9bb">
      <Terms xmlns="http://schemas.microsoft.com/office/infopath/2007/PartnerControls"/>
    </ne96e0df53b64e5483876e1676687a1e>
    <TaxCatchAll xmlns="17f2577b-c8a7-464c-acd8-85d53c19c6e2"/>
    <Archive xmlns="a747ce56-605e-4d0d-ae48-74538ece1cfd">false</Archi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5A37-C714-4715-BF2F-1D024D186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CB47-8A03-440E-9DE3-C9B541664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5f4cf-efb3-4c32-9246-275044c8a9bb"/>
    <ds:schemaRef ds:uri="17f2577b-c8a7-464c-acd8-85d53c19c6e2"/>
    <ds:schemaRef ds:uri="a747ce56-605e-4d0d-ae48-74538ece1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8DD9B-2D38-4335-A20A-0E024AA5BFC3}">
  <ds:schemaRefs>
    <ds:schemaRef ds:uri="b2b5f4cf-efb3-4c32-9246-275044c8a9b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17f2577b-c8a7-464c-acd8-85d53c19c6e2"/>
    <ds:schemaRef ds:uri="http://purl.org/dc/elements/1.1/"/>
    <ds:schemaRef ds:uri="a747ce56-605e-4d0d-ae48-74538ece1cfd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578AC-CE0F-4975-8760-44D7B809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Fortis BC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Norman, Colin</dc:creator>
  <cp:lastModifiedBy>Hopkins, Mike</cp:lastModifiedBy>
  <cp:revision>103</cp:revision>
  <dcterms:created xsi:type="dcterms:W3CDTF">2019-12-02T14:52:00Z</dcterms:created>
  <dcterms:modified xsi:type="dcterms:W3CDTF">2019-12-16T15:41:00Z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0x0101008F8584E0F0F71B499B1579AEA3E3B4E100221613F8E8794444A69A3723889269F2</vt:lpwstr>
  </property>
  <property fmtid="{D5CDD505-2E9C-101B-9397-08002B2CF9AE}" pid="3" name="RegulatoryBody">
    <vt:lpwstr/>
  </property>
  <property fmtid="{D5CDD505-2E9C-101B-9397-08002B2CF9AE}" pid="4" name="FromYear">
    <vt:lpwstr/>
  </property>
  <property fmtid="{D5CDD505-2E9C-101B-9397-08002B2CF9AE}" pid="5" name="RACompany">
    <vt:lpwstr/>
  </property>
  <property fmtid="{D5CDD505-2E9C-101B-9397-08002B2CF9AE}" pid="6" name="FromMonth">
    <vt:lpwstr/>
  </property>
  <property fmtid="{D5CDD505-2E9C-101B-9397-08002B2CF9AE}" pid="7" name="ToYear">
    <vt:lpwstr/>
  </property>
  <property fmtid="{D5CDD505-2E9C-101B-9397-08002B2CF9AE}" pid="8" name="ToMonth">
    <vt:lpwstr/>
  </property>
</Properties>
</file>